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C5BD8" w14:textId="77777777" w:rsidR="00EC5031" w:rsidRDefault="00EC5031" w:rsidP="00EC5031">
      <w:pPr>
        <w:jc w:val="center"/>
        <w:rPr>
          <w:rFonts w:asciiTheme="majorHAnsi" w:hAnsiTheme="majorHAnsi"/>
          <w:b/>
          <w:sz w:val="36"/>
          <w:szCs w:val="36"/>
        </w:rPr>
      </w:pPr>
      <w:r>
        <w:rPr>
          <w:noProof/>
          <w:lang w:val="en-US"/>
        </w:rPr>
        <w:drawing>
          <wp:inline distT="0" distB="0" distL="0" distR="0" wp14:anchorId="532B8150" wp14:editId="470CCAD4">
            <wp:extent cx="920505" cy="1257300"/>
            <wp:effectExtent l="0" t="0" r="0" b="0"/>
            <wp:docPr id="1" name="Picture 1" descr="partner_511_1_čf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_511_1_čf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965" cy="1257929"/>
                    </a:xfrm>
                    <a:prstGeom prst="rect">
                      <a:avLst/>
                    </a:prstGeom>
                    <a:noFill/>
                    <a:ln>
                      <a:noFill/>
                    </a:ln>
                  </pic:spPr>
                </pic:pic>
              </a:graphicData>
            </a:graphic>
          </wp:inline>
        </w:drawing>
      </w:r>
    </w:p>
    <w:p w14:paraId="188C382D" w14:textId="77777777" w:rsidR="00EC5031" w:rsidRDefault="00EC5031" w:rsidP="0092701F">
      <w:pPr>
        <w:jc w:val="center"/>
        <w:rPr>
          <w:rFonts w:asciiTheme="majorHAnsi" w:hAnsiTheme="majorHAnsi"/>
          <w:b/>
          <w:sz w:val="36"/>
          <w:szCs w:val="36"/>
        </w:rPr>
      </w:pPr>
    </w:p>
    <w:p w14:paraId="5653CD7E" w14:textId="77777777" w:rsidR="00EC5031" w:rsidRDefault="00EC5031" w:rsidP="0092701F">
      <w:pPr>
        <w:jc w:val="center"/>
        <w:rPr>
          <w:rFonts w:asciiTheme="majorHAnsi" w:hAnsiTheme="majorHAnsi"/>
          <w:b/>
          <w:sz w:val="36"/>
          <w:szCs w:val="36"/>
        </w:rPr>
      </w:pPr>
    </w:p>
    <w:p w14:paraId="67FF4EFC" w14:textId="77777777" w:rsidR="00EC5031" w:rsidRDefault="0092701F" w:rsidP="0092701F">
      <w:pPr>
        <w:jc w:val="center"/>
        <w:rPr>
          <w:rFonts w:asciiTheme="majorHAnsi" w:hAnsiTheme="majorHAnsi"/>
          <w:b/>
          <w:sz w:val="36"/>
          <w:szCs w:val="36"/>
        </w:rPr>
      </w:pPr>
      <w:r w:rsidRPr="00EC5031">
        <w:rPr>
          <w:rFonts w:asciiTheme="majorHAnsi" w:hAnsiTheme="majorHAnsi"/>
          <w:b/>
          <w:sz w:val="36"/>
          <w:szCs w:val="36"/>
        </w:rPr>
        <w:t>Doporučení pracovní</w:t>
      </w:r>
      <w:r w:rsidR="00EC5031">
        <w:rPr>
          <w:rFonts w:asciiTheme="majorHAnsi" w:hAnsiTheme="majorHAnsi"/>
          <w:b/>
          <w:sz w:val="36"/>
          <w:szCs w:val="36"/>
        </w:rPr>
        <w:t>ch</w:t>
      </w:r>
      <w:r w:rsidRPr="00EC5031">
        <w:rPr>
          <w:rFonts w:asciiTheme="majorHAnsi" w:hAnsiTheme="majorHAnsi"/>
          <w:b/>
          <w:sz w:val="36"/>
          <w:szCs w:val="36"/>
        </w:rPr>
        <w:t xml:space="preserve"> skupin ČFES pro Value Based Pricing</w:t>
      </w:r>
      <w:r w:rsidR="001B1C8D" w:rsidRPr="00EC5031">
        <w:rPr>
          <w:rFonts w:asciiTheme="majorHAnsi" w:hAnsiTheme="majorHAnsi"/>
          <w:b/>
          <w:sz w:val="36"/>
          <w:szCs w:val="36"/>
        </w:rPr>
        <w:t xml:space="preserve"> </w:t>
      </w:r>
      <w:r w:rsidR="00EC5031">
        <w:rPr>
          <w:rFonts w:asciiTheme="majorHAnsi" w:hAnsiTheme="majorHAnsi"/>
          <w:b/>
          <w:sz w:val="36"/>
          <w:szCs w:val="36"/>
        </w:rPr>
        <w:t>a Comparative Effectiveness Research</w:t>
      </w:r>
    </w:p>
    <w:p w14:paraId="48860F2F" w14:textId="40DB6024" w:rsidR="0092701F" w:rsidRPr="00EC5031" w:rsidRDefault="001725A7" w:rsidP="0092701F">
      <w:pPr>
        <w:jc w:val="center"/>
        <w:rPr>
          <w:rFonts w:asciiTheme="majorHAnsi" w:hAnsiTheme="majorHAnsi"/>
          <w:b/>
          <w:sz w:val="36"/>
          <w:szCs w:val="36"/>
        </w:rPr>
      </w:pPr>
      <w:r>
        <w:rPr>
          <w:rFonts w:asciiTheme="majorHAnsi" w:hAnsiTheme="majorHAnsi"/>
          <w:b/>
          <w:sz w:val="36"/>
          <w:szCs w:val="36"/>
        </w:rPr>
        <w:t>2</w:t>
      </w:r>
      <w:r w:rsidR="00400C00">
        <w:rPr>
          <w:rFonts w:asciiTheme="majorHAnsi" w:hAnsiTheme="majorHAnsi"/>
          <w:b/>
          <w:sz w:val="36"/>
          <w:szCs w:val="36"/>
        </w:rPr>
        <w:t>2</w:t>
      </w:r>
      <w:r w:rsidR="001B1C8D" w:rsidRPr="00EC5031">
        <w:rPr>
          <w:rFonts w:asciiTheme="majorHAnsi" w:hAnsiTheme="majorHAnsi"/>
          <w:b/>
          <w:sz w:val="36"/>
          <w:szCs w:val="36"/>
        </w:rPr>
        <w:t xml:space="preserve">. </w:t>
      </w:r>
      <w:r w:rsidR="00EC5031">
        <w:rPr>
          <w:rFonts w:asciiTheme="majorHAnsi" w:hAnsiTheme="majorHAnsi"/>
          <w:b/>
          <w:sz w:val="36"/>
          <w:szCs w:val="36"/>
        </w:rPr>
        <w:t>9</w:t>
      </w:r>
      <w:r w:rsidR="001B1C8D" w:rsidRPr="00EC5031">
        <w:rPr>
          <w:rFonts w:asciiTheme="majorHAnsi" w:hAnsiTheme="majorHAnsi"/>
          <w:b/>
          <w:sz w:val="36"/>
          <w:szCs w:val="36"/>
        </w:rPr>
        <w:t>. 2014</w:t>
      </w:r>
    </w:p>
    <w:p w14:paraId="5A015EA8" w14:textId="77777777" w:rsidR="00414DA4" w:rsidRDefault="00414DA4" w:rsidP="0092701F">
      <w:pPr>
        <w:jc w:val="center"/>
        <w:rPr>
          <w:rFonts w:asciiTheme="majorHAnsi" w:hAnsiTheme="majorHAnsi"/>
          <w:b/>
          <w:sz w:val="36"/>
          <w:szCs w:val="36"/>
        </w:rPr>
      </w:pPr>
    </w:p>
    <w:p w14:paraId="0199320B" w14:textId="77777777" w:rsidR="00EC5031" w:rsidRDefault="00EC5031" w:rsidP="0092701F">
      <w:pPr>
        <w:jc w:val="center"/>
        <w:rPr>
          <w:rFonts w:asciiTheme="majorHAnsi" w:hAnsiTheme="majorHAnsi"/>
          <w:b/>
          <w:sz w:val="36"/>
          <w:szCs w:val="36"/>
        </w:rPr>
      </w:pPr>
    </w:p>
    <w:p w14:paraId="6D218FC2" w14:textId="77777777" w:rsidR="00EC5031" w:rsidRDefault="00EC5031" w:rsidP="0092701F">
      <w:pPr>
        <w:jc w:val="center"/>
        <w:rPr>
          <w:rFonts w:asciiTheme="majorHAnsi" w:hAnsiTheme="majorHAnsi"/>
          <w:b/>
          <w:sz w:val="36"/>
          <w:szCs w:val="36"/>
        </w:rPr>
      </w:pPr>
    </w:p>
    <w:p w14:paraId="3B94F56C" w14:textId="77777777" w:rsidR="00EC5031" w:rsidRDefault="00EC5031" w:rsidP="0092701F">
      <w:pPr>
        <w:jc w:val="center"/>
        <w:rPr>
          <w:rFonts w:asciiTheme="majorHAnsi" w:hAnsiTheme="majorHAnsi"/>
          <w:b/>
          <w:sz w:val="36"/>
          <w:szCs w:val="36"/>
        </w:rPr>
      </w:pPr>
      <w:r>
        <w:rPr>
          <w:rFonts w:asciiTheme="majorHAnsi" w:hAnsiTheme="majorHAnsi"/>
          <w:b/>
          <w:sz w:val="36"/>
          <w:szCs w:val="36"/>
        </w:rPr>
        <w:t>obsah</w:t>
      </w:r>
    </w:p>
    <w:p w14:paraId="5C97FD7C" w14:textId="77777777" w:rsidR="00EC5031" w:rsidRDefault="00EC5031" w:rsidP="0092701F">
      <w:pPr>
        <w:jc w:val="center"/>
        <w:rPr>
          <w:rFonts w:asciiTheme="majorHAnsi" w:hAnsiTheme="majorHAnsi"/>
          <w:b/>
          <w:sz w:val="36"/>
          <w:szCs w:val="36"/>
        </w:rPr>
      </w:pPr>
    </w:p>
    <w:p w14:paraId="4DE4624D" w14:textId="4C3C6385" w:rsidR="00EC5031" w:rsidRDefault="002C20D4" w:rsidP="0092701F">
      <w:pPr>
        <w:jc w:val="center"/>
        <w:rPr>
          <w:rFonts w:asciiTheme="majorHAnsi" w:hAnsiTheme="majorHAnsi"/>
          <w:sz w:val="32"/>
          <w:szCs w:val="32"/>
        </w:rPr>
      </w:pPr>
      <w:r>
        <w:rPr>
          <w:rFonts w:asciiTheme="majorHAnsi" w:hAnsiTheme="majorHAnsi"/>
          <w:sz w:val="32"/>
          <w:szCs w:val="32"/>
        </w:rPr>
        <w:t xml:space="preserve">1. </w:t>
      </w:r>
      <w:r w:rsidR="00EC5031">
        <w:rPr>
          <w:rFonts w:asciiTheme="majorHAnsi" w:hAnsiTheme="majorHAnsi"/>
          <w:sz w:val="32"/>
          <w:szCs w:val="32"/>
        </w:rPr>
        <w:t>Úvod do problematiky...................................................</w:t>
      </w:r>
      <w:r w:rsidR="00400C00">
        <w:rPr>
          <w:rFonts w:asciiTheme="majorHAnsi" w:hAnsiTheme="majorHAnsi"/>
          <w:sz w:val="32"/>
          <w:szCs w:val="32"/>
        </w:rPr>
        <w:t>2</w:t>
      </w:r>
    </w:p>
    <w:p w14:paraId="4D9BFF29" w14:textId="3C69BF68" w:rsidR="00EC5031" w:rsidRDefault="002C20D4" w:rsidP="0092701F">
      <w:pPr>
        <w:jc w:val="center"/>
        <w:rPr>
          <w:rFonts w:asciiTheme="majorHAnsi" w:hAnsiTheme="majorHAnsi"/>
          <w:sz w:val="32"/>
          <w:szCs w:val="32"/>
        </w:rPr>
      </w:pPr>
      <w:r>
        <w:rPr>
          <w:rFonts w:asciiTheme="majorHAnsi" w:hAnsiTheme="majorHAnsi"/>
          <w:sz w:val="32"/>
          <w:szCs w:val="32"/>
        </w:rPr>
        <w:t xml:space="preserve">2. </w:t>
      </w:r>
      <w:r w:rsidR="00EC5031">
        <w:rPr>
          <w:rFonts w:asciiTheme="majorHAnsi" w:hAnsiTheme="majorHAnsi"/>
          <w:sz w:val="32"/>
          <w:szCs w:val="32"/>
        </w:rPr>
        <w:t>Value Based Pricing........................................................</w:t>
      </w:r>
      <w:r w:rsidR="007F6B04">
        <w:rPr>
          <w:rFonts w:asciiTheme="majorHAnsi" w:hAnsiTheme="majorHAnsi"/>
          <w:sz w:val="32"/>
          <w:szCs w:val="32"/>
        </w:rPr>
        <w:t>4</w:t>
      </w:r>
    </w:p>
    <w:p w14:paraId="7498A3E7" w14:textId="3FE0C5BC" w:rsidR="00EC5031" w:rsidRDefault="002C20D4" w:rsidP="0092701F">
      <w:pPr>
        <w:jc w:val="center"/>
        <w:rPr>
          <w:rFonts w:asciiTheme="majorHAnsi" w:hAnsiTheme="majorHAnsi"/>
          <w:sz w:val="32"/>
          <w:szCs w:val="32"/>
        </w:rPr>
      </w:pPr>
      <w:r>
        <w:rPr>
          <w:rFonts w:asciiTheme="majorHAnsi" w:hAnsiTheme="majorHAnsi"/>
          <w:sz w:val="32"/>
          <w:szCs w:val="32"/>
        </w:rPr>
        <w:t xml:space="preserve">3. </w:t>
      </w:r>
      <w:r w:rsidR="00EC5031">
        <w:rPr>
          <w:rFonts w:asciiTheme="majorHAnsi" w:hAnsiTheme="majorHAnsi"/>
          <w:sz w:val="32"/>
          <w:szCs w:val="32"/>
        </w:rPr>
        <w:t>Comparative Effectiveness Research.......................</w:t>
      </w:r>
      <w:r w:rsidR="007F6B04">
        <w:rPr>
          <w:rFonts w:asciiTheme="majorHAnsi" w:hAnsiTheme="majorHAnsi"/>
          <w:sz w:val="32"/>
          <w:szCs w:val="32"/>
        </w:rPr>
        <w:t>10</w:t>
      </w:r>
    </w:p>
    <w:p w14:paraId="66515463" w14:textId="77777777" w:rsidR="00EC5031" w:rsidRDefault="00EC5031" w:rsidP="0092701F">
      <w:pPr>
        <w:jc w:val="center"/>
        <w:rPr>
          <w:rFonts w:asciiTheme="majorHAnsi" w:hAnsiTheme="majorHAnsi"/>
          <w:b/>
          <w:sz w:val="36"/>
          <w:szCs w:val="36"/>
        </w:rPr>
      </w:pPr>
    </w:p>
    <w:p w14:paraId="591F3A06" w14:textId="77777777" w:rsidR="00EC5031" w:rsidRDefault="00EC5031" w:rsidP="0092701F">
      <w:pPr>
        <w:jc w:val="center"/>
        <w:rPr>
          <w:rFonts w:asciiTheme="majorHAnsi" w:hAnsiTheme="majorHAnsi"/>
          <w:b/>
          <w:sz w:val="36"/>
          <w:szCs w:val="36"/>
        </w:rPr>
      </w:pPr>
    </w:p>
    <w:p w14:paraId="1E01CCC7" w14:textId="77777777" w:rsidR="00EC5031" w:rsidRPr="00EC5031" w:rsidRDefault="00EC5031" w:rsidP="0092701F">
      <w:pPr>
        <w:jc w:val="center"/>
        <w:rPr>
          <w:rFonts w:asciiTheme="majorHAnsi" w:hAnsiTheme="majorHAnsi"/>
          <w:b/>
          <w:sz w:val="36"/>
          <w:szCs w:val="36"/>
        </w:rPr>
      </w:pPr>
    </w:p>
    <w:p w14:paraId="4619A48A" w14:textId="77777777" w:rsidR="00EC5031" w:rsidRDefault="00EC5031" w:rsidP="0092701F">
      <w:pPr>
        <w:jc w:val="center"/>
        <w:rPr>
          <w:rFonts w:asciiTheme="majorHAnsi" w:hAnsiTheme="majorHAnsi"/>
          <w:b/>
          <w:sz w:val="24"/>
          <w:szCs w:val="24"/>
        </w:rPr>
      </w:pPr>
      <w:r>
        <w:rPr>
          <w:rFonts w:asciiTheme="majorHAnsi" w:hAnsiTheme="majorHAnsi"/>
          <w:b/>
          <w:sz w:val="24"/>
          <w:szCs w:val="24"/>
        </w:rPr>
        <w:br w:type="page"/>
      </w:r>
    </w:p>
    <w:p w14:paraId="60CA2F74" w14:textId="77777777" w:rsidR="0092701F" w:rsidRDefault="0092701F" w:rsidP="0092701F">
      <w:pPr>
        <w:jc w:val="center"/>
        <w:rPr>
          <w:rFonts w:asciiTheme="majorHAnsi" w:hAnsiTheme="majorHAnsi"/>
          <w:b/>
          <w:sz w:val="24"/>
          <w:szCs w:val="24"/>
        </w:rPr>
      </w:pPr>
    </w:p>
    <w:p w14:paraId="478B4F81" w14:textId="76805D2B" w:rsidR="00EC5031" w:rsidRDefault="002C20D4" w:rsidP="00EC5031">
      <w:pPr>
        <w:jc w:val="center"/>
        <w:rPr>
          <w:rFonts w:asciiTheme="majorHAnsi" w:hAnsiTheme="majorHAnsi"/>
          <w:b/>
          <w:sz w:val="24"/>
          <w:szCs w:val="24"/>
        </w:rPr>
      </w:pPr>
      <w:r>
        <w:rPr>
          <w:rFonts w:asciiTheme="majorHAnsi" w:hAnsiTheme="majorHAnsi"/>
          <w:b/>
          <w:sz w:val="24"/>
          <w:szCs w:val="24"/>
        </w:rPr>
        <w:t xml:space="preserve">1. </w:t>
      </w:r>
      <w:r w:rsidR="00EC5031">
        <w:rPr>
          <w:rFonts w:asciiTheme="majorHAnsi" w:hAnsiTheme="majorHAnsi"/>
          <w:b/>
          <w:sz w:val="24"/>
          <w:szCs w:val="24"/>
        </w:rPr>
        <w:t>Úvod do problematiky</w:t>
      </w:r>
    </w:p>
    <w:p w14:paraId="4675E3F3" w14:textId="77777777" w:rsidR="00EC5031" w:rsidRPr="00177B09" w:rsidRDefault="00EC5031" w:rsidP="00177B09">
      <w:pPr>
        <w:rPr>
          <w:rFonts w:asciiTheme="majorHAnsi" w:hAnsiTheme="majorHAnsi"/>
          <w:sz w:val="24"/>
          <w:szCs w:val="24"/>
        </w:rPr>
      </w:pPr>
    </w:p>
    <w:p w14:paraId="33B6C42F" w14:textId="1EE4CF93" w:rsidR="00EC5031" w:rsidRDefault="00177B09" w:rsidP="001725A7">
      <w:pPr>
        <w:jc w:val="both"/>
        <w:rPr>
          <w:rFonts w:asciiTheme="majorHAnsi" w:hAnsiTheme="majorHAnsi"/>
          <w:sz w:val="24"/>
          <w:szCs w:val="24"/>
        </w:rPr>
      </w:pPr>
      <w:r w:rsidRPr="00177B09">
        <w:rPr>
          <w:rFonts w:asciiTheme="majorHAnsi" w:hAnsiTheme="majorHAnsi"/>
          <w:sz w:val="24"/>
          <w:szCs w:val="24"/>
        </w:rPr>
        <w:t xml:space="preserve">V České republice je od ledna 2008 používáno farmakoekonomické hodnocení léků jako pevná a povinná součást procesu stanovení </w:t>
      </w:r>
      <w:r w:rsidR="007F6B04">
        <w:rPr>
          <w:rFonts w:asciiTheme="majorHAnsi" w:hAnsiTheme="majorHAnsi"/>
          <w:sz w:val="24"/>
          <w:szCs w:val="24"/>
        </w:rPr>
        <w:t xml:space="preserve">výše a podmínek </w:t>
      </w:r>
      <w:r w:rsidRPr="00177B09">
        <w:rPr>
          <w:rFonts w:asciiTheme="majorHAnsi" w:hAnsiTheme="majorHAnsi"/>
          <w:sz w:val="24"/>
          <w:szCs w:val="24"/>
        </w:rPr>
        <w:t xml:space="preserve">úhrady ze zdravotního pojištění. Neexistence oficiální, jednotné a vynutitelné metodiky k provádění farmakoekonomických analýz mezi lety 2008-2013 prakticky znemožňovala uplatnění výsledků analýz nákladové efektivity v rozhodovacím procesu o přiznání či nepřiznání úhrady. V současnosti, společně s platností standardní mezinárodní metodiky a </w:t>
      </w:r>
      <w:r w:rsidR="001725A7">
        <w:rPr>
          <w:rFonts w:asciiTheme="majorHAnsi" w:hAnsiTheme="majorHAnsi"/>
          <w:sz w:val="24"/>
          <w:szCs w:val="24"/>
        </w:rPr>
        <w:t>ochotou</w:t>
      </w:r>
      <w:r w:rsidRPr="00177B09">
        <w:rPr>
          <w:rFonts w:asciiTheme="majorHAnsi" w:hAnsiTheme="majorHAnsi"/>
          <w:sz w:val="24"/>
          <w:szCs w:val="24"/>
        </w:rPr>
        <w:t xml:space="preserve"> </w:t>
      </w:r>
      <w:proofErr w:type="spellStart"/>
      <w:r w:rsidRPr="00177B09">
        <w:rPr>
          <w:rFonts w:asciiTheme="majorHAnsi" w:hAnsiTheme="majorHAnsi"/>
          <w:sz w:val="24"/>
          <w:szCs w:val="24"/>
        </w:rPr>
        <w:t>SÚKLu</w:t>
      </w:r>
      <w:proofErr w:type="spellEnd"/>
      <w:r w:rsidRPr="00177B09">
        <w:rPr>
          <w:rFonts w:asciiTheme="majorHAnsi" w:hAnsiTheme="majorHAnsi"/>
          <w:sz w:val="24"/>
          <w:szCs w:val="24"/>
        </w:rPr>
        <w:t xml:space="preserve"> aplikovat hranici ochoty platit ve výši trojnásobku HDP, stojíme před otázkou, jakou váhu mají mít výsledky farmakoekonomických analýz. Tato debata je již vedena mnoho let v několika zemích, nejvýrazněji ve </w:t>
      </w:r>
      <w:r w:rsidR="007F6B04">
        <w:rPr>
          <w:rFonts w:asciiTheme="majorHAnsi" w:hAnsiTheme="majorHAnsi"/>
          <w:sz w:val="24"/>
          <w:szCs w:val="24"/>
        </w:rPr>
        <w:t>V</w:t>
      </w:r>
      <w:r w:rsidRPr="00177B09">
        <w:rPr>
          <w:rFonts w:asciiTheme="majorHAnsi" w:hAnsiTheme="majorHAnsi"/>
          <w:sz w:val="24"/>
          <w:szCs w:val="24"/>
        </w:rPr>
        <w:t>elké Británii jako proces nastavení principů Value Based Pricing (VBP), tedy stanovení ceny resp. úhrady léčiv adekvátně k jejich hodnotě, kterou pacientům, zdravotnímu systému a společnosti přináší.</w:t>
      </w:r>
    </w:p>
    <w:p w14:paraId="58BDD530" w14:textId="6AC6331B" w:rsidR="00177B09" w:rsidRDefault="00177B09" w:rsidP="001725A7">
      <w:pPr>
        <w:jc w:val="both"/>
        <w:rPr>
          <w:rFonts w:asciiTheme="majorHAnsi" w:hAnsiTheme="majorHAnsi"/>
          <w:sz w:val="24"/>
          <w:szCs w:val="24"/>
        </w:rPr>
      </w:pPr>
      <w:r w:rsidRPr="00177B09">
        <w:rPr>
          <w:rFonts w:asciiTheme="majorHAnsi" w:hAnsiTheme="majorHAnsi"/>
          <w:sz w:val="24"/>
          <w:szCs w:val="24"/>
        </w:rPr>
        <w:t>Zákon</w:t>
      </w:r>
      <w:r w:rsidR="007F6B04">
        <w:rPr>
          <w:rFonts w:asciiTheme="majorHAnsi" w:hAnsiTheme="majorHAnsi"/>
          <w:sz w:val="24"/>
          <w:szCs w:val="24"/>
        </w:rPr>
        <w:t xml:space="preserve"> č.</w:t>
      </w:r>
      <w:r w:rsidRPr="00177B09">
        <w:rPr>
          <w:rFonts w:asciiTheme="majorHAnsi" w:hAnsiTheme="majorHAnsi"/>
          <w:sz w:val="24"/>
          <w:szCs w:val="24"/>
        </w:rPr>
        <w:t xml:space="preserve"> 48/1997 v §39b odst. 2 stanoví kritéria </w:t>
      </w:r>
      <w:r w:rsidR="007F6B04">
        <w:rPr>
          <w:rFonts w:asciiTheme="majorHAnsi" w:hAnsiTheme="majorHAnsi"/>
          <w:sz w:val="24"/>
          <w:szCs w:val="24"/>
        </w:rPr>
        <w:t>, které SÚKL při stanovení výše a podmínek úhrady hodnotí</w:t>
      </w:r>
      <w:r>
        <w:rPr>
          <w:rFonts w:asciiTheme="majorHAnsi" w:hAnsiTheme="majorHAnsi"/>
          <w:sz w:val="24"/>
          <w:szCs w:val="24"/>
        </w:rPr>
        <w:t>:</w:t>
      </w:r>
    </w:p>
    <w:p w14:paraId="0D86FDC3" w14:textId="619F615C" w:rsidR="004C0485" w:rsidRDefault="004C0485" w:rsidP="001725A7">
      <w:pPr>
        <w:pStyle w:val="ListParagraph"/>
        <w:numPr>
          <w:ilvl w:val="0"/>
          <w:numId w:val="18"/>
        </w:numPr>
        <w:jc w:val="both"/>
        <w:rPr>
          <w:rFonts w:asciiTheme="majorHAnsi" w:hAnsiTheme="majorHAnsi"/>
          <w:sz w:val="24"/>
          <w:szCs w:val="24"/>
        </w:rPr>
      </w:pPr>
      <w:r>
        <w:rPr>
          <w:rFonts w:asciiTheme="majorHAnsi" w:hAnsiTheme="majorHAnsi"/>
          <w:sz w:val="24"/>
          <w:szCs w:val="24"/>
        </w:rPr>
        <w:t>terapeutická účinnost a bezpečnost</w:t>
      </w:r>
    </w:p>
    <w:p w14:paraId="3CB407E3" w14:textId="1AC6F8B5" w:rsidR="004C0485" w:rsidRDefault="004C0485" w:rsidP="001725A7">
      <w:pPr>
        <w:pStyle w:val="ListParagraph"/>
        <w:numPr>
          <w:ilvl w:val="0"/>
          <w:numId w:val="18"/>
        </w:numPr>
        <w:jc w:val="both"/>
        <w:rPr>
          <w:rFonts w:asciiTheme="majorHAnsi" w:hAnsiTheme="majorHAnsi"/>
          <w:sz w:val="24"/>
          <w:szCs w:val="24"/>
        </w:rPr>
      </w:pPr>
      <w:r>
        <w:rPr>
          <w:rFonts w:asciiTheme="majorHAnsi" w:hAnsiTheme="majorHAnsi"/>
          <w:sz w:val="24"/>
          <w:szCs w:val="24"/>
        </w:rPr>
        <w:t>závažnost onemocnění</w:t>
      </w:r>
    </w:p>
    <w:p w14:paraId="3A66F4B8" w14:textId="3E1D3219" w:rsidR="004C0485" w:rsidRDefault="004C0485" w:rsidP="001725A7">
      <w:pPr>
        <w:pStyle w:val="ListParagraph"/>
        <w:numPr>
          <w:ilvl w:val="0"/>
          <w:numId w:val="18"/>
        </w:numPr>
        <w:jc w:val="both"/>
        <w:rPr>
          <w:rFonts w:asciiTheme="majorHAnsi" w:hAnsiTheme="majorHAnsi"/>
          <w:sz w:val="24"/>
          <w:szCs w:val="24"/>
        </w:rPr>
      </w:pPr>
      <w:r>
        <w:rPr>
          <w:rFonts w:asciiTheme="majorHAnsi" w:hAnsiTheme="majorHAnsi"/>
          <w:sz w:val="24"/>
          <w:szCs w:val="24"/>
        </w:rPr>
        <w:t xml:space="preserve">hodnocení nákladové efektivity </w:t>
      </w:r>
    </w:p>
    <w:p w14:paraId="5E4004A1" w14:textId="20E2207E" w:rsidR="004C0485" w:rsidRDefault="004C0485" w:rsidP="001725A7">
      <w:pPr>
        <w:pStyle w:val="ListParagraph"/>
        <w:numPr>
          <w:ilvl w:val="0"/>
          <w:numId w:val="18"/>
        </w:numPr>
        <w:jc w:val="both"/>
        <w:rPr>
          <w:rFonts w:asciiTheme="majorHAnsi" w:hAnsiTheme="majorHAnsi"/>
          <w:sz w:val="24"/>
          <w:szCs w:val="24"/>
        </w:rPr>
      </w:pPr>
      <w:r>
        <w:rPr>
          <w:rFonts w:asciiTheme="majorHAnsi" w:hAnsiTheme="majorHAnsi"/>
          <w:sz w:val="24"/>
          <w:szCs w:val="24"/>
        </w:rPr>
        <w:t>veřejný zájem</w:t>
      </w:r>
    </w:p>
    <w:p w14:paraId="35F20622" w14:textId="2C6DB0F6" w:rsidR="004C0485" w:rsidRDefault="004C0485" w:rsidP="001725A7">
      <w:pPr>
        <w:pStyle w:val="ListParagraph"/>
        <w:numPr>
          <w:ilvl w:val="0"/>
          <w:numId w:val="18"/>
        </w:numPr>
        <w:jc w:val="both"/>
        <w:rPr>
          <w:rFonts w:asciiTheme="majorHAnsi" w:hAnsiTheme="majorHAnsi"/>
          <w:sz w:val="24"/>
          <w:szCs w:val="24"/>
        </w:rPr>
      </w:pPr>
      <w:r w:rsidRPr="004C0485">
        <w:rPr>
          <w:rFonts w:asciiTheme="majorHAnsi" w:hAnsiTheme="majorHAnsi"/>
          <w:sz w:val="24"/>
          <w:szCs w:val="24"/>
        </w:rPr>
        <w:t>vhodnost cesty podání, lékové formy, síly a velikost balení</w:t>
      </w:r>
    </w:p>
    <w:p w14:paraId="072A8ABD" w14:textId="1FED9F41" w:rsidR="004C0485" w:rsidRDefault="004C0485" w:rsidP="001725A7">
      <w:pPr>
        <w:pStyle w:val="ListParagraph"/>
        <w:numPr>
          <w:ilvl w:val="0"/>
          <w:numId w:val="18"/>
        </w:numPr>
        <w:jc w:val="both"/>
        <w:rPr>
          <w:rFonts w:asciiTheme="majorHAnsi" w:hAnsiTheme="majorHAnsi"/>
          <w:sz w:val="24"/>
          <w:szCs w:val="24"/>
        </w:rPr>
      </w:pPr>
      <w:r w:rsidRPr="004C0485">
        <w:rPr>
          <w:rFonts w:asciiTheme="majorHAnsi" w:hAnsiTheme="majorHAnsi"/>
          <w:sz w:val="24"/>
          <w:szCs w:val="24"/>
        </w:rPr>
        <w:t>obvyklé dávkování</w:t>
      </w:r>
    </w:p>
    <w:p w14:paraId="6A116F95" w14:textId="62E4BDB3" w:rsidR="004C0485" w:rsidRDefault="004C0485" w:rsidP="001725A7">
      <w:pPr>
        <w:pStyle w:val="ListParagraph"/>
        <w:numPr>
          <w:ilvl w:val="0"/>
          <w:numId w:val="18"/>
        </w:numPr>
        <w:jc w:val="both"/>
        <w:rPr>
          <w:rFonts w:asciiTheme="majorHAnsi" w:hAnsiTheme="majorHAnsi"/>
          <w:sz w:val="24"/>
          <w:szCs w:val="24"/>
        </w:rPr>
      </w:pPr>
      <w:r w:rsidRPr="004C0485">
        <w:rPr>
          <w:rFonts w:asciiTheme="majorHAnsi" w:hAnsiTheme="majorHAnsi"/>
          <w:sz w:val="24"/>
          <w:szCs w:val="24"/>
        </w:rPr>
        <w:t>nezbytná délka léčby</w:t>
      </w:r>
    </w:p>
    <w:p w14:paraId="66745DF8" w14:textId="58AFC164" w:rsidR="004C0485" w:rsidRDefault="004C0485" w:rsidP="001725A7">
      <w:pPr>
        <w:pStyle w:val="ListParagraph"/>
        <w:numPr>
          <w:ilvl w:val="0"/>
          <w:numId w:val="18"/>
        </w:numPr>
        <w:jc w:val="both"/>
        <w:rPr>
          <w:rFonts w:asciiTheme="majorHAnsi" w:hAnsiTheme="majorHAnsi"/>
          <w:sz w:val="24"/>
          <w:szCs w:val="24"/>
        </w:rPr>
      </w:pPr>
      <w:r w:rsidRPr="004C0485">
        <w:rPr>
          <w:rFonts w:asciiTheme="majorHAnsi" w:hAnsiTheme="majorHAnsi"/>
          <w:sz w:val="24"/>
          <w:szCs w:val="24"/>
        </w:rPr>
        <w:t>míra součinnosti osoby, které je podáván</w:t>
      </w:r>
    </w:p>
    <w:p w14:paraId="793BA11C" w14:textId="6731CA75" w:rsidR="004C0485" w:rsidRDefault="004C0485" w:rsidP="001725A7">
      <w:pPr>
        <w:pStyle w:val="ListParagraph"/>
        <w:numPr>
          <w:ilvl w:val="0"/>
          <w:numId w:val="18"/>
        </w:numPr>
        <w:jc w:val="both"/>
        <w:rPr>
          <w:rFonts w:asciiTheme="majorHAnsi" w:hAnsiTheme="majorHAnsi"/>
          <w:sz w:val="24"/>
          <w:szCs w:val="24"/>
        </w:rPr>
      </w:pPr>
      <w:r w:rsidRPr="004C0485">
        <w:rPr>
          <w:rFonts w:asciiTheme="majorHAnsi" w:hAnsiTheme="majorHAnsi"/>
          <w:sz w:val="24"/>
          <w:szCs w:val="24"/>
        </w:rPr>
        <w:t>jeho nahraditelnost jiným léčivým přípravkem</w:t>
      </w:r>
    </w:p>
    <w:p w14:paraId="7719F651" w14:textId="2038CD00" w:rsidR="004C0485" w:rsidRDefault="004C0485" w:rsidP="001725A7">
      <w:pPr>
        <w:pStyle w:val="ListParagraph"/>
        <w:numPr>
          <w:ilvl w:val="0"/>
          <w:numId w:val="18"/>
        </w:numPr>
        <w:jc w:val="both"/>
        <w:rPr>
          <w:rFonts w:asciiTheme="majorHAnsi" w:hAnsiTheme="majorHAnsi"/>
          <w:sz w:val="24"/>
          <w:szCs w:val="24"/>
        </w:rPr>
      </w:pPr>
      <w:r w:rsidRPr="004C0485">
        <w:rPr>
          <w:rFonts w:asciiTheme="majorHAnsi" w:hAnsiTheme="majorHAnsi"/>
          <w:sz w:val="24"/>
          <w:szCs w:val="24"/>
        </w:rPr>
        <w:t>předpokládaný dopad úhrady na finanční prostředky zdravotního pojištění</w:t>
      </w:r>
    </w:p>
    <w:p w14:paraId="04399077" w14:textId="7325A592" w:rsidR="004C0485" w:rsidRPr="004C0485" w:rsidRDefault="004C0485" w:rsidP="001725A7">
      <w:pPr>
        <w:pStyle w:val="ListParagraph"/>
        <w:numPr>
          <w:ilvl w:val="0"/>
          <w:numId w:val="18"/>
        </w:numPr>
        <w:jc w:val="both"/>
        <w:rPr>
          <w:rFonts w:asciiTheme="majorHAnsi" w:hAnsiTheme="majorHAnsi"/>
          <w:sz w:val="24"/>
          <w:szCs w:val="24"/>
        </w:rPr>
      </w:pPr>
      <w:r w:rsidRPr="004C0485">
        <w:rPr>
          <w:rFonts w:asciiTheme="majorHAnsi" w:hAnsiTheme="majorHAnsi"/>
          <w:sz w:val="24"/>
          <w:szCs w:val="24"/>
        </w:rPr>
        <w:t>doporučené postupy odborných institucí a odborníků, a to vždy z hlediska nákladové efektivity a s ohledem na dopad na finanční prostředky zdravotního pojištění.</w:t>
      </w:r>
    </w:p>
    <w:p w14:paraId="2F242E78" w14:textId="48DA2414" w:rsidR="00177B09" w:rsidRDefault="004D7208" w:rsidP="001725A7">
      <w:pPr>
        <w:jc w:val="both"/>
        <w:rPr>
          <w:rFonts w:asciiTheme="majorHAnsi" w:hAnsiTheme="majorHAnsi"/>
          <w:sz w:val="24"/>
          <w:szCs w:val="24"/>
        </w:rPr>
      </w:pPr>
      <w:proofErr w:type="spellStart"/>
      <w:r>
        <w:rPr>
          <w:rFonts w:asciiTheme="majorHAnsi" w:hAnsiTheme="majorHAnsi"/>
          <w:sz w:val="24"/>
          <w:szCs w:val="24"/>
        </w:rPr>
        <w:t>SÚKLu</w:t>
      </w:r>
      <w:proofErr w:type="spellEnd"/>
      <w:r>
        <w:rPr>
          <w:rFonts w:asciiTheme="majorHAnsi" w:hAnsiTheme="majorHAnsi"/>
          <w:sz w:val="24"/>
          <w:szCs w:val="24"/>
        </w:rPr>
        <w:t xml:space="preserve"> je tedy zákonem uloženo, aby při rozhodování zda přizná úhradu ze zdravotního pojištění, případně v jaké výši a za jakých podmínek bral v potaz všechny uvedená kritéria. To co zákon neříká</w:t>
      </w:r>
      <w:r w:rsidR="00D260DB">
        <w:rPr>
          <w:rFonts w:asciiTheme="majorHAnsi" w:hAnsiTheme="majorHAnsi"/>
          <w:sz w:val="24"/>
          <w:szCs w:val="24"/>
        </w:rPr>
        <w:t xml:space="preserve"> je otázka jakou má dané kritérium v procesu posuzování váhu a význam.</w:t>
      </w:r>
    </w:p>
    <w:p w14:paraId="384EA285" w14:textId="50A38E37" w:rsidR="00177B09" w:rsidRDefault="007F6B04" w:rsidP="001725A7">
      <w:pPr>
        <w:jc w:val="both"/>
        <w:rPr>
          <w:rFonts w:asciiTheme="majorHAnsi" w:hAnsiTheme="majorHAnsi"/>
          <w:sz w:val="24"/>
          <w:szCs w:val="24"/>
        </w:rPr>
      </w:pPr>
      <w:r>
        <w:rPr>
          <w:rFonts w:asciiTheme="majorHAnsi" w:hAnsiTheme="majorHAnsi"/>
          <w:sz w:val="24"/>
          <w:szCs w:val="24"/>
        </w:rPr>
        <w:t>Stávající legislativa tak</w:t>
      </w:r>
      <w:r w:rsidR="00177B09" w:rsidRPr="00177B09">
        <w:rPr>
          <w:rFonts w:asciiTheme="majorHAnsi" w:hAnsiTheme="majorHAnsi"/>
          <w:sz w:val="24"/>
          <w:szCs w:val="24"/>
        </w:rPr>
        <w:t xml:space="preserve"> dává šanci na moderní aplikaci </w:t>
      </w:r>
      <w:proofErr w:type="spellStart"/>
      <w:r w:rsidR="00177B09" w:rsidRPr="00177B09">
        <w:rPr>
          <w:rFonts w:asciiTheme="majorHAnsi" w:hAnsiTheme="majorHAnsi"/>
          <w:sz w:val="24"/>
          <w:szCs w:val="24"/>
        </w:rPr>
        <w:t>širokohodnotového</w:t>
      </w:r>
      <w:proofErr w:type="spellEnd"/>
      <w:r w:rsidR="00177B09" w:rsidRPr="00177B09">
        <w:rPr>
          <w:rFonts w:asciiTheme="majorHAnsi" w:hAnsiTheme="majorHAnsi"/>
          <w:sz w:val="24"/>
          <w:szCs w:val="24"/>
        </w:rPr>
        <w:t xml:space="preserve"> procesu, který v sobě zahrnuje prakticky vše, co se dnes objevuje v zahraničních diskusích: účinnost a bezpečnost ve smyslu relativní účinnosti a bezpečnosti, závažnost onemocnění, nahraditelnost jiným léčivem neboli „unmet need“, nákladovou efektivitu a dopad na rozpočet. Doufám, že se otevírá příležitost ke kultivaci hodnotícího a </w:t>
      </w:r>
      <w:r w:rsidR="00177B09" w:rsidRPr="00177B09">
        <w:rPr>
          <w:rFonts w:asciiTheme="majorHAnsi" w:hAnsiTheme="majorHAnsi"/>
          <w:sz w:val="24"/>
          <w:szCs w:val="24"/>
        </w:rPr>
        <w:lastRenderedPageBreak/>
        <w:t xml:space="preserve">rozhodovacího procesu ve smyslu posouzení </w:t>
      </w:r>
      <w:proofErr w:type="spellStart"/>
      <w:r w:rsidR="00177B09" w:rsidRPr="00177B09">
        <w:rPr>
          <w:rFonts w:asciiTheme="majorHAnsi" w:hAnsiTheme="majorHAnsi"/>
          <w:sz w:val="24"/>
          <w:szCs w:val="24"/>
        </w:rPr>
        <w:t>mnohovrstevnatosti</w:t>
      </w:r>
      <w:proofErr w:type="spellEnd"/>
      <w:r w:rsidR="00177B09" w:rsidRPr="00177B09">
        <w:rPr>
          <w:rFonts w:asciiTheme="majorHAnsi" w:hAnsiTheme="majorHAnsi"/>
          <w:sz w:val="24"/>
          <w:szCs w:val="24"/>
        </w:rPr>
        <w:t xml:space="preserve"> hodnoty posuzovaného léčiva a skutečné aplikaci principů „value for </w:t>
      </w:r>
      <w:proofErr w:type="spellStart"/>
      <w:r w:rsidR="00177B09" w:rsidRPr="00177B09">
        <w:rPr>
          <w:rFonts w:asciiTheme="majorHAnsi" w:hAnsiTheme="majorHAnsi"/>
          <w:sz w:val="24"/>
          <w:szCs w:val="24"/>
        </w:rPr>
        <w:t>money</w:t>
      </w:r>
      <w:proofErr w:type="spellEnd"/>
      <w:r w:rsidR="00177B09" w:rsidRPr="00177B09">
        <w:rPr>
          <w:rFonts w:asciiTheme="majorHAnsi" w:hAnsiTheme="majorHAnsi"/>
          <w:sz w:val="24"/>
          <w:szCs w:val="24"/>
        </w:rPr>
        <w:t>“. A také, že si nutně nemusíme procházet zkušenosti a diskuse, ke kterým v uplynulých 10 letech docházelo ve výše zmíněných zemích a dokážeme se poučit a „vyzobnout“ si to nejlepší ode všech. Současná situace vytváří nejen určitou nejistotu a</w:t>
      </w:r>
      <w:r w:rsidR="00D260DB">
        <w:rPr>
          <w:rFonts w:asciiTheme="majorHAnsi" w:hAnsiTheme="majorHAnsi"/>
          <w:sz w:val="24"/>
          <w:szCs w:val="24"/>
        </w:rPr>
        <w:t>le také nepředvídatelnost celého procesu. Žadatelé a účastníci procesu nemohou předem odhadnout jak budou posouzena data a důkazy, které předkládají.</w:t>
      </w:r>
    </w:p>
    <w:p w14:paraId="3BBD9498" w14:textId="3CD73026" w:rsidR="00177B09" w:rsidRDefault="00345B2D" w:rsidP="001725A7">
      <w:pPr>
        <w:jc w:val="both"/>
        <w:rPr>
          <w:rFonts w:asciiTheme="majorHAnsi" w:hAnsiTheme="majorHAnsi"/>
          <w:sz w:val="24"/>
          <w:szCs w:val="24"/>
        </w:rPr>
      </w:pPr>
      <w:r>
        <w:rPr>
          <w:rFonts w:asciiTheme="majorHAnsi" w:hAnsiTheme="majorHAnsi"/>
          <w:sz w:val="24"/>
          <w:szCs w:val="24"/>
        </w:rPr>
        <w:t xml:space="preserve">Proto </w:t>
      </w:r>
      <w:r w:rsidR="00177B09">
        <w:rPr>
          <w:rFonts w:asciiTheme="majorHAnsi" w:hAnsiTheme="majorHAnsi"/>
          <w:sz w:val="24"/>
          <w:szCs w:val="24"/>
        </w:rPr>
        <w:t xml:space="preserve">Česká farmakoekonomická společnost (ČFES) založila v roce 2013 dvě pracovní skupiny, které </w:t>
      </w:r>
      <w:r w:rsidR="00D260DB">
        <w:rPr>
          <w:rFonts w:asciiTheme="majorHAnsi" w:hAnsiTheme="majorHAnsi"/>
          <w:sz w:val="24"/>
          <w:szCs w:val="24"/>
        </w:rPr>
        <w:t>se věnovaly otázkám nedostatečně řešeným v současné legislativě, metodikách a rozhodovací praxi:</w:t>
      </w:r>
    </w:p>
    <w:p w14:paraId="10B37D8D" w14:textId="5ED804B8" w:rsidR="00D260DB" w:rsidRDefault="00D260DB" w:rsidP="001725A7">
      <w:pPr>
        <w:pStyle w:val="ListParagraph"/>
        <w:numPr>
          <w:ilvl w:val="0"/>
          <w:numId w:val="19"/>
        </w:numPr>
        <w:jc w:val="both"/>
        <w:rPr>
          <w:rFonts w:asciiTheme="majorHAnsi" w:hAnsiTheme="majorHAnsi"/>
          <w:sz w:val="24"/>
          <w:szCs w:val="24"/>
        </w:rPr>
      </w:pPr>
      <w:r w:rsidRPr="00D260DB">
        <w:rPr>
          <w:rFonts w:asciiTheme="majorHAnsi" w:hAnsiTheme="majorHAnsi"/>
          <w:b/>
          <w:sz w:val="24"/>
          <w:szCs w:val="24"/>
          <w:u w:val="single"/>
        </w:rPr>
        <w:t xml:space="preserve">Value </w:t>
      </w:r>
      <w:proofErr w:type="spellStart"/>
      <w:r w:rsidRPr="00D260DB">
        <w:rPr>
          <w:rFonts w:asciiTheme="majorHAnsi" w:hAnsiTheme="majorHAnsi"/>
          <w:b/>
          <w:sz w:val="24"/>
          <w:szCs w:val="24"/>
          <w:u w:val="single"/>
        </w:rPr>
        <w:t>based</w:t>
      </w:r>
      <w:proofErr w:type="spellEnd"/>
      <w:r w:rsidRPr="00D260DB">
        <w:rPr>
          <w:rFonts w:asciiTheme="majorHAnsi" w:hAnsiTheme="majorHAnsi"/>
          <w:b/>
          <w:sz w:val="24"/>
          <w:szCs w:val="24"/>
          <w:u w:val="single"/>
        </w:rPr>
        <w:t xml:space="preserve"> </w:t>
      </w:r>
      <w:proofErr w:type="spellStart"/>
      <w:r w:rsidRPr="00D260DB">
        <w:rPr>
          <w:rFonts w:asciiTheme="majorHAnsi" w:hAnsiTheme="majorHAnsi"/>
          <w:b/>
          <w:sz w:val="24"/>
          <w:szCs w:val="24"/>
          <w:u w:val="single"/>
        </w:rPr>
        <w:t>pricing</w:t>
      </w:r>
      <w:proofErr w:type="spellEnd"/>
      <w:r w:rsidRPr="00D260DB">
        <w:rPr>
          <w:rFonts w:asciiTheme="majorHAnsi" w:hAnsiTheme="majorHAnsi"/>
          <w:b/>
          <w:sz w:val="24"/>
          <w:szCs w:val="24"/>
          <w:u w:val="single"/>
        </w:rPr>
        <w:t>:</w:t>
      </w:r>
      <w:r>
        <w:rPr>
          <w:rFonts w:asciiTheme="majorHAnsi" w:hAnsiTheme="majorHAnsi"/>
          <w:sz w:val="24"/>
          <w:szCs w:val="24"/>
        </w:rPr>
        <w:t xml:space="preserve"> </w:t>
      </w:r>
      <w:r w:rsidRPr="00D260DB">
        <w:rPr>
          <w:rFonts w:asciiTheme="majorHAnsi" w:hAnsiTheme="majorHAnsi"/>
          <w:sz w:val="24"/>
          <w:szCs w:val="24"/>
        </w:rPr>
        <w:t>Jak nakládat s výsledky farmakoekonomických analýz v kontextu ostatních parametrů (závažnost onemocnění, potřeba nové terapie, klinická účinnost a bezpečnost, dopad na rozpočet, nejistota výsledků).</w:t>
      </w:r>
    </w:p>
    <w:p w14:paraId="6A250BF2" w14:textId="3100F30F" w:rsidR="00D260DB" w:rsidRPr="00D260DB" w:rsidRDefault="00D260DB" w:rsidP="001725A7">
      <w:pPr>
        <w:pStyle w:val="ListParagraph"/>
        <w:numPr>
          <w:ilvl w:val="0"/>
          <w:numId w:val="19"/>
        </w:numPr>
        <w:jc w:val="both"/>
        <w:rPr>
          <w:rFonts w:asciiTheme="majorHAnsi" w:hAnsiTheme="majorHAnsi"/>
          <w:sz w:val="24"/>
          <w:szCs w:val="24"/>
        </w:rPr>
      </w:pPr>
      <w:r w:rsidRPr="00D260DB">
        <w:rPr>
          <w:rFonts w:asciiTheme="majorHAnsi" w:hAnsiTheme="majorHAnsi"/>
          <w:b/>
          <w:sz w:val="24"/>
          <w:szCs w:val="24"/>
          <w:u w:val="single"/>
        </w:rPr>
        <w:t>Comparative effectiveness:</w:t>
      </w:r>
      <w:r w:rsidRPr="00D260DB">
        <w:rPr>
          <w:rFonts w:asciiTheme="majorHAnsi" w:hAnsiTheme="majorHAnsi"/>
          <w:sz w:val="24"/>
          <w:szCs w:val="24"/>
        </w:rPr>
        <w:t xml:space="preserve"> Jaké metody používat v hodnocení účinnosti a bezpečnosti medicínských technologií, jak správně identifikovat komparátory a jaká bude hierarchie důkazů pro přímé a nepřímé srovnání.</w:t>
      </w:r>
      <w:r>
        <w:rPr>
          <w:rFonts w:asciiTheme="majorHAnsi" w:hAnsiTheme="majorHAnsi"/>
          <w:sz w:val="24"/>
          <w:szCs w:val="24"/>
        </w:rPr>
        <w:t xml:space="preserve"> Pro hodnocení nákladové efektivity a dopadu na rozpočet existují kvalitní metodiky SUKLu, ale tato problematika ošetřena dosud metodicky není.</w:t>
      </w:r>
    </w:p>
    <w:p w14:paraId="2CB5AA48" w14:textId="518A4437" w:rsidR="00177B09" w:rsidRDefault="00FB3AC7" w:rsidP="001725A7">
      <w:pPr>
        <w:jc w:val="both"/>
        <w:rPr>
          <w:rFonts w:asciiTheme="majorHAnsi" w:hAnsiTheme="majorHAnsi"/>
          <w:sz w:val="24"/>
          <w:szCs w:val="24"/>
        </w:rPr>
      </w:pPr>
      <w:r>
        <w:rPr>
          <w:rFonts w:asciiTheme="majorHAnsi" w:hAnsiTheme="majorHAnsi"/>
          <w:sz w:val="24"/>
          <w:szCs w:val="24"/>
        </w:rPr>
        <w:t>Na základě odborné diskuse ve výše uvedených pracovních skupinách vznikl níže uvedený dokument, který Vám předkládáme k Vašemu posouzení. Věříme, že tento dokument povede ke zvýšení odborné úrovně, předvídatelnosti i spravedlivosti současného systému úhradové regulace v České republice.</w:t>
      </w:r>
    </w:p>
    <w:p w14:paraId="3EFF5851" w14:textId="0097ACB9" w:rsidR="00CE3EB4" w:rsidRDefault="007714B3" w:rsidP="001725A7">
      <w:pPr>
        <w:jc w:val="both"/>
        <w:rPr>
          <w:rFonts w:asciiTheme="majorHAnsi" w:hAnsiTheme="majorHAnsi"/>
          <w:sz w:val="24"/>
          <w:szCs w:val="24"/>
        </w:rPr>
      </w:pPr>
      <w:r>
        <w:rPr>
          <w:rFonts w:asciiTheme="majorHAnsi" w:hAnsiTheme="majorHAnsi"/>
          <w:sz w:val="24"/>
          <w:szCs w:val="24"/>
        </w:rPr>
        <w:t xml:space="preserve">Za rámcový je třeba považovat dokument </w:t>
      </w:r>
      <w:proofErr w:type="spellStart"/>
      <w:r>
        <w:rPr>
          <w:rFonts w:asciiTheme="majorHAnsi" w:hAnsiTheme="majorHAnsi"/>
          <w:sz w:val="24"/>
          <w:szCs w:val="24"/>
        </w:rPr>
        <w:t>Value</w:t>
      </w:r>
      <w:proofErr w:type="spellEnd"/>
      <w:r>
        <w:rPr>
          <w:rFonts w:asciiTheme="majorHAnsi" w:hAnsiTheme="majorHAnsi"/>
          <w:sz w:val="24"/>
          <w:szCs w:val="24"/>
        </w:rPr>
        <w:t xml:space="preserve"> </w:t>
      </w:r>
      <w:proofErr w:type="spellStart"/>
      <w:r>
        <w:rPr>
          <w:rFonts w:asciiTheme="majorHAnsi" w:hAnsiTheme="majorHAnsi"/>
          <w:sz w:val="24"/>
          <w:szCs w:val="24"/>
        </w:rPr>
        <w:t>Based</w:t>
      </w:r>
      <w:proofErr w:type="spellEnd"/>
      <w:r>
        <w:rPr>
          <w:rFonts w:asciiTheme="majorHAnsi" w:hAnsiTheme="majorHAnsi"/>
          <w:sz w:val="24"/>
          <w:szCs w:val="24"/>
        </w:rPr>
        <w:t xml:space="preserve"> </w:t>
      </w:r>
      <w:proofErr w:type="spellStart"/>
      <w:r>
        <w:rPr>
          <w:rFonts w:asciiTheme="majorHAnsi" w:hAnsiTheme="majorHAnsi"/>
          <w:sz w:val="24"/>
          <w:szCs w:val="24"/>
        </w:rPr>
        <w:t>Pricing</w:t>
      </w:r>
      <w:proofErr w:type="spellEnd"/>
      <w:r>
        <w:rPr>
          <w:rFonts w:asciiTheme="majorHAnsi" w:hAnsiTheme="majorHAnsi"/>
          <w:sz w:val="24"/>
          <w:szCs w:val="24"/>
        </w:rPr>
        <w:t xml:space="preserve">, který se vyjadřuje ke všem relevantním kritériím, se kterými by se při formulaci doporučení pro úhradu pracovat. Na tento dokument navazuje část věnovaná </w:t>
      </w:r>
      <w:proofErr w:type="spellStart"/>
      <w:r>
        <w:rPr>
          <w:rFonts w:asciiTheme="majorHAnsi" w:hAnsiTheme="majorHAnsi"/>
          <w:sz w:val="24"/>
          <w:szCs w:val="24"/>
        </w:rPr>
        <w:t>Comparative</w:t>
      </w:r>
      <w:proofErr w:type="spellEnd"/>
      <w:r>
        <w:rPr>
          <w:rFonts w:asciiTheme="majorHAnsi" w:hAnsiTheme="majorHAnsi"/>
          <w:sz w:val="24"/>
          <w:szCs w:val="24"/>
        </w:rPr>
        <w:t xml:space="preserve"> </w:t>
      </w:r>
      <w:proofErr w:type="spellStart"/>
      <w:r>
        <w:rPr>
          <w:rFonts w:asciiTheme="majorHAnsi" w:hAnsiTheme="majorHAnsi"/>
          <w:sz w:val="24"/>
          <w:szCs w:val="24"/>
        </w:rPr>
        <w:t>Effectiveness</w:t>
      </w:r>
      <w:proofErr w:type="spellEnd"/>
      <w:r>
        <w:rPr>
          <w:rFonts w:asciiTheme="majorHAnsi" w:hAnsiTheme="majorHAnsi"/>
          <w:sz w:val="24"/>
          <w:szCs w:val="24"/>
        </w:rPr>
        <w:t xml:space="preserve">, která metodicky rozvíjí hodnocení účinnosti a bezpečnosti. Těmto dvěma kritériím, která vstupují do komplexního hodnocení typu VBP, jsme se věnovali detailně, protože máme pocit, že nejsou v rozhodovací praxi dostatečně podchycena. V kapitole 3 se věnujeme zejména volbě </w:t>
      </w:r>
      <w:proofErr w:type="spellStart"/>
      <w:r>
        <w:rPr>
          <w:rFonts w:asciiTheme="majorHAnsi" w:hAnsiTheme="majorHAnsi"/>
          <w:sz w:val="24"/>
          <w:szCs w:val="24"/>
        </w:rPr>
        <w:t>komparátora</w:t>
      </w:r>
      <w:proofErr w:type="spellEnd"/>
      <w:r>
        <w:rPr>
          <w:rFonts w:asciiTheme="majorHAnsi" w:hAnsiTheme="majorHAnsi"/>
          <w:sz w:val="24"/>
          <w:szCs w:val="24"/>
        </w:rPr>
        <w:t xml:space="preserve"> pro CER a hodnocení výsledků intervence ve smyslu účinnosti a bezpečnosti.</w:t>
      </w:r>
      <w:bookmarkStart w:id="0" w:name="_GoBack"/>
      <w:bookmarkEnd w:id="0"/>
    </w:p>
    <w:p w14:paraId="32298812" w14:textId="77777777" w:rsidR="007714B3" w:rsidRDefault="007714B3" w:rsidP="001725A7">
      <w:pPr>
        <w:jc w:val="both"/>
        <w:rPr>
          <w:rFonts w:asciiTheme="majorHAnsi" w:hAnsiTheme="majorHAnsi"/>
          <w:sz w:val="24"/>
          <w:szCs w:val="24"/>
        </w:rPr>
      </w:pPr>
    </w:p>
    <w:p w14:paraId="2D0E85AE" w14:textId="6804DD11" w:rsidR="007F6B04" w:rsidRDefault="007F6B04" w:rsidP="001725A7">
      <w:pPr>
        <w:spacing w:after="0"/>
        <w:rPr>
          <w:rFonts w:asciiTheme="majorHAnsi" w:hAnsiTheme="majorHAnsi"/>
          <w:sz w:val="24"/>
          <w:szCs w:val="24"/>
        </w:rPr>
      </w:pPr>
      <w:r>
        <w:rPr>
          <w:rFonts w:asciiTheme="majorHAnsi" w:hAnsiTheme="majorHAnsi"/>
          <w:sz w:val="24"/>
          <w:szCs w:val="24"/>
        </w:rPr>
        <w:t>MUDr. Tomáš Doležal, PhD.</w:t>
      </w:r>
    </w:p>
    <w:p w14:paraId="5052507D" w14:textId="15CF49AE" w:rsidR="00177B09" w:rsidRDefault="007F6B04" w:rsidP="001725A7">
      <w:pPr>
        <w:spacing w:after="0"/>
        <w:rPr>
          <w:rFonts w:asciiTheme="majorHAnsi" w:hAnsiTheme="majorHAnsi"/>
          <w:sz w:val="24"/>
          <w:szCs w:val="24"/>
        </w:rPr>
      </w:pPr>
      <w:r>
        <w:rPr>
          <w:rFonts w:asciiTheme="majorHAnsi" w:hAnsiTheme="majorHAnsi"/>
          <w:sz w:val="24"/>
          <w:szCs w:val="24"/>
        </w:rPr>
        <w:t>předseda ČFES</w:t>
      </w:r>
    </w:p>
    <w:p w14:paraId="33D32015" w14:textId="05A882FC" w:rsidR="00177B09" w:rsidRDefault="00177B09" w:rsidP="00177B09">
      <w:pPr>
        <w:rPr>
          <w:rFonts w:asciiTheme="majorHAnsi" w:hAnsiTheme="majorHAnsi"/>
          <w:sz w:val="24"/>
          <w:szCs w:val="24"/>
        </w:rPr>
      </w:pPr>
      <w:r w:rsidRPr="00177B09">
        <w:rPr>
          <w:rFonts w:asciiTheme="majorHAnsi" w:hAnsiTheme="majorHAnsi"/>
          <w:sz w:val="24"/>
          <w:szCs w:val="24"/>
        </w:rPr>
        <w:t xml:space="preserve"> </w:t>
      </w:r>
    </w:p>
    <w:p w14:paraId="57613E66" w14:textId="77777777" w:rsidR="00177B09" w:rsidRPr="00177B09" w:rsidRDefault="00177B09" w:rsidP="00177B09">
      <w:pPr>
        <w:rPr>
          <w:rFonts w:asciiTheme="majorHAnsi" w:hAnsiTheme="majorHAnsi"/>
          <w:sz w:val="24"/>
          <w:szCs w:val="24"/>
        </w:rPr>
      </w:pPr>
    </w:p>
    <w:p w14:paraId="05910FED" w14:textId="77777777" w:rsidR="00EC5031" w:rsidRDefault="00EC5031" w:rsidP="0092701F">
      <w:pPr>
        <w:jc w:val="center"/>
        <w:rPr>
          <w:rFonts w:asciiTheme="majorHAnsi" w:hAnsiTheme="majorHAnsi"/>
          <w:b/>
          <w:sz w:val="24"/>
          <w:szCs w:val="24"/>
        </w:rPr>
      </w:pPr>
      <w:r>
        <w:rPr>
          <w:rFonts w:asciiTheme="majorHAnsi" w:hAnsiTheme="majorHAnsi"/>
          <w:b/>
          <w:sz w:val="24"/>
          <w:szCs w:val="24"/>
        </w:rPr>
        <w:br w:type="page"/>
      </w:r>
    </w:p>
    <w:p w14:paraId="291CAA33" w14:textId="77777777" w:rsidR="00EC5031" w:rsidRDefault="00EC5031" w:rsidP="0092701F">
      <w:pPr>
        <w:jc w:val="center"/>
        <w:rPr>
          <w:rFonts w:asciiTheme="majorHAnsi" w:hAnsiTheme="majorHAnsi"/>
          <w:b/>
          <w:sz w:val="24"/>
          <w:szCs w:val="24"/>
        </w:rPr>
      </w:pPr>
    </w:p>
    <w:p w14:paraId="4BBA3BB8" w14:textId="3583229F" w:rsidR="00EC5031" w:rsidRDefault="002C20D4" w:rsidP="0092701F">
      <w:pPr>
        <w:jc w:val="center"/>
        <w:rPr>
          <w:rFonts w:asciiTheme="majorHAnsi" w:hAnsiTheme="majorHAnsi"/>
          <w:b/>
          <w:sz w:val="24"/>
          <w:szCs w:val="24"/>
        </w:rPr>
      </w:pPr>
      <w:r>
        <w:rPr>
          <w:rFonts w:asciiTheme="majorHAnsi" w:hAnsiTheme="majorHAnsi"/>
          <w:b/>
          <w:sz w:val="24"/>
          <w:szCs w:val="24"/>
        </w:rPr>
        <w:t xml:space="preserve">2. </w:t>
      </w:r>
      <w:r w:rsidR="00EC5031">
        <w:rPr>
          <w:rFonts w:asciiTheme="majorHAnsi" w:hAnsiTheme="majorHAnsi"/>
          <w:b/>
          <w:sz w:val="24"/>
          <w:szCs w:val="24"/>
        </w:rPr>
        <w:t>VALUE BASED PRICING</w:t>
      </w:r>
    </w:p>
    <w:p w14:paraId="4291EFD7" w14:textId="77777777" w:rsidR="00EC5031" w:rsidRPr="00EC5031" w:rsidRDefault="00EC5031" w:rsidP="0092701F">
      <w:pPr>
        <w:jc w:val="center"/>
        <w:rPr>
          <w:rFonts w:asciiTheme="majorHAnsi" w:hAnsiTheme="majorHAnsi"/>
          <w:b/>
          <w:sz w:val="24"/>
          <w:szCs w:val="24"/>
        </w:rPr>
      </w:pPr>
    </w:p>
    <w:p w14:paraId="73AAD774" w14:textId="711E7928" w:rsidR="0092701F" w:rsidRPr="00400C00" w:rsidRDefault="00400C00" w:rsidP="00400C00">
      <w:pPr>
        <w:ind w:left="360"/>
        <w:rPr>
          <w:rFonts w:asciiTheme="majorHAnsi" w:hAnsiTheme="majorHAnsi"/>
          <w:b/>
          <w:sz w:val="24"/>
          <w:szCs w:val="24"/>
          <w:u w:val="single"/>
        </w:rPr>
      </w:pPr>
      <w:r w:rsidRPr="00400C00">
        <w:rPr>
          <w:rFonts w:asciiTheme="majorHAnsi" w:hAnsiTheme="majorHAnsi"/>
          <w:b/>
          <w:sz w:val="24"/>
          <w:szCs w:val="24"/>
          <w:u w:val="single"/>
        </w:rPr>
        <w:t xml:space="preserve">2.1. </w:t>
      </w:r>
      <w:r w:rsidR="0092701F" w:rsidRPr="00400C00">
        <w:rPr>
          <w:rFonts w:asciiTheme="majorHAnsi" w:hAnsiTheme="majorHAnsi"/>
          <w:b/>
          <w:sz w:val="24"/>
          <w:szCs w:val="24"/>
          <w:u w:val="single"/>
        </w:rPr>
        <w:t xml:space="preserve">Úvod do </w:t>
      </w:r>
      <w:r w:rsidR="00B54C03" w:rsidRPr="00400C00">
        <w:rPr>
          <w:rFonts w:asciiTheme="majorHAnsi" w:hAnsiTheme="majorHAnsi"/>
          <w:b/>
          <w:sz w:val="24"/>
          <w:szCs w:val="24"/>
          <w:u w:val="single"/>
        </w:rPr>
        <w:t xml:space="preserve">Value </w:t>
      </w:r>
      <w:r w:rsidR="0092701F" w:rsidRPr="00400C00">
        <w:rPr>
          <w:rFonts w:asciiTheme="majorHAnsi" w:hAnsiTheme="majorHAnsi"/>
          <w:b/>
          <w:sz w:val="24"/>
          <w:szCs w:val="24"/>
          <w:u w:val="single"/>
        </w:rPr>
        <w:t xml:space="preserve">Based Pricing </w:t>
      </w:r>
    </w:p>
    <w:p w14:paraId="7C1880DC" w14:textId="77777777" w:rsidR="0092701F" w:rsidRPr="00EC5031" w:rsidRDefault="0092701F" w:rsidP="00685422">
      <w:pPr>
        <w:jc w:val="both"/>
        <w:rPr>
          <w:rFonts w:asciiTheme="majorHAnsi" w:hAnsiTheme="majorHAnsi"/>
          <w:sz w:val="24"/>
          <w:szCs w:val="24"/>
        </w:rPr>
      </w:pPr>
      <w:r w:rsidRPr="00EC5031">
        <w:rPr>
          <w:rFonts w:asciiTheme="majorHAnsi" w:hAnsiTheme="majorHAnsi"/>
          <w:sz w:val="24"/>
          <w:szCs w:val="24"/>
        </w:rPr>
        <w:t xml:space="preserve">VBP napomáhá komplexně a systematicky hodnotit přínos zdravotnických technologií. </w:t>
      </w:r>
      <w:r w:rsidR="00B54C03" w:rsidRPr="00EC5031">
        <w:rPr>
          <w:rFonts w:asciiTheme="majorHAnsi" w:hAnsiTheme="majorHAnsi"/>
          <w:sz w:val="24"/>
          <w:szCs w:val="24"/>
        </w:rPr>
        <w:t xml:space="preserve">Existuje </w:t>
      </w:r>
      <w:r w:rsidR="00CF101C" w:rsidRPr="00EC5031">
        <w:rPr>
          <w:rFonts w:asciiTheme="majorHAnsi" w:hAnsiTheme="majorHAnsi"/>
          <w:sz w:val="24"/>
          <w:szCs w:val="24"/>
        </w:rPr>
        <w:t xml:space="preserve">široká škála </w:t>
      </w:r>
      <w:r w:rsidR="00B54C03" w:rsidRPr="00EC5031">
        <w:rPr>
          <w:rFonts w:asciiTheme="majorHAnsi" w:hAnsiTheme="majorHAnsi"/>
          <w:sz w:val="24"/>
          <w:szCs w:val="24"/>
        </w:rPr>
        <w:t>parametrů</w:t>
      </w:r>
      <w:r w:rsidR="00CF101C" w:rsidRPr="00EC5031">
        <w:rPr>
          <w:rFonts w:asciiTheme="majorHAnsi" w:hAnsiTheme="majorHAnsi"/>
          <w:sz w:val="24"/>
          <w:szCs w:val="24"/>
        </w:rPr>
        <w:t xml:space="preserve"> používaných při </w:t>
      </w:r>
      <w:r w:rsidRPr="00EC5031">
        <w:rPr>
          <w:rFonts w:asciiTheme="majorHAnsi" w:hAnsiTheme="majorHAnsi"/>
          <w:sz w:val="24"/>
          <w:szCs w:val="24"/>
        </w:rPr>
        <w:t>hodnocení zdravotnických technologií, nicméně skupina se rozhod</w:t>
      </w:r>
      <w:r w:rsidR="00CF101C" w:rsidRPr="00EC5031">
        <w:rPr>
          <w:rFonts w:asciiTheme="majorHAnsi" w:hAnsiTheme="majorHAnsi"/>
          <w:sz w:val="24"/>
          <w:szCs w:val="24"/>
        </w:rPr>
        <w:t xml:space="preserve">la </w:t>
      </w:r>
      <w:r w:rsidRPr="00EC5031">
        <w:rPr>
          <w:rFonts w:asciiTheme="majorHAnsi" w:hAnsiTheme="majorHAnsi"/>
          <w:sz w:val="24"/>
          <w:szCs w:val="24"/>
        </w:rPr>
        <w:t xml:space="preserve">zaměřit jen na </w:t>
      </w:r>
      <w:r w:rsidR="00CF101C" w:rsidRPr="00EC5031">
        <w:rPr>
          <w:rFonts w:asciiTheme="majorHAnsi" w:hAnsiTheme="majorHAnsi"/>
          <w:sz w:val="24"/>
          <w:szCs w:val="24"/>
        </w:rPr>
        <w:t>hlavní</w:t>
      </w:r>
      <w:r w:rsidRPr="00EC5031">
        <w:rPr>
          <w:rFonts w:asciiTheme="majorHAnsi" w:hAnsiTheme="majorHAnsi"/>
          <w:sz w:val="24"/>
          <w:szCs w:val="24"/>
        </w:rPr>
        <w:t xml:space="preserve"> z</w:t>
      </w:r>
      <w:r w:rsidR="009A5E75" w:rsidRPr="00EC5031">
        <w:rPr>
          <w:rFonts w:asciiTheme="majorHAnsi" w:hAnsiTheme="majorHAnsi"/>
          <w:sz w:val="24"/>
          <w:szCs w:val="24"/>
        </w:rPr>
        <w:t xml:space="preserve"> nich: </w:t>
      </w:r>
      <w:r w:rsidRPr="00EC5031">
        <w:rPr>
          <w:rFonts w:asciiTheme="majorHAnsi" w:hAnsiTheme="majorHAnsi"/>
          <w:sz w:val="24"/>
          <w:szCs w:val="24"/>
        </w:rPr>
        <w:t xml:space="preserve">účinnost, bezpečnost, závažnost onemocnění, unmet need, </w:t>
      </w:r>
      <w:r w:rsidR="00B54C03" w:rsidRPr="00EC5031">
        <w:rPr>
          <w:rFonts w:asciiTheme="majorHAnsi" w:hAnsiTheme="majorHAnsi"/>
          <w:sz w:val="24"/>
          <w:szCs w:val="24"/>
        </w:rPr>
        <w:t>nákladová efektivita, dopad na rozpočet</w:t>
      </w:r>
      <w:r w:rsidRPr="00EC5031">
        <w:rPr>
          <w:rFonts w:asciiTheme="majorHAnsi" w:hAnsiTheme="majorHAnsi"/>
          <w:sz w:val="24"/>
          <w:szCs w:val="24"/>
        </w:rPr>
        <w:t xml:space="preserve">. Stranou zůstává sociální, etické případně i právní hodnocení, které </w:t>
      </w:r>
      <w:r w:rsidR="00B54C03" w:rsidRPr="00EC5031">
        <w:rPr>
          <w:rFonts w:asciiTheme="majorHAnsi" w:hAnsiTheme="majorHAnsi"/>
          <w:sz w:val="24"/>
          <w:szCs w:val="24"/>
        </w:rPr>
        <w:t xml:space="preserve">jistě </w:t>
      </w:r>
      <w:r w:rsidRPr="00EC5031">
        <w:rPr>
          <w:rFonts w:asciiTheme="majorHAnsi" w:hAnsiTheme="majorHAnsi"/>
          <w:sz w:val="24"/>
          <w:szCs w:val="24"/>
        </w:rPr>
        <w:t xml:space="preserve">má své místo v HTA, ale bude skupinou </w:t>
      </w:r>
      <w:r w:rsidR="00B54C03" w:rsidRPr="00EC5031">
        <w:rPr>
          <w:rFonts w:asciiTheme="majorHAnsi" w:hAnsiTheme="majorHAnsi"/>
          <w:sz w:val="24"/>
          <w:szCs w:val="24"/>
        </w:rPr>
        <w:t xml:space="preserve">diskutováno </w:t>
      </w:r>
      <w:r w:rsidR="008A3BB9" w:rsidRPr="00EC5031">
        <w:rPr>
          <w:rFonts w:asciiTheme="majorHAnsi" w:hAnsiTheme="majorHAnsi"/>
          <w:sz w:val="24"/>
          <w:szCs w:val="24"/>
        </w:rPr>
        <w:t xml:space="preserve">následně </w:t>
      </w:r>
      <w:r w:rsidR="00B54C03" w:rsidRPr="00EC5031">
        <w:rPr>
          <w:rFonts w:asciiTheme="majorHAnsi" w:hAnsiTheme="majorHAnsi"/>
          <w:sz w:val="24"/>
          <w:szCs w:val="24"/>
        </w:rPr>
        <w:t>a není obsahem tohoto doporučení.</w:t>
      </w:r>
    </w:p>
    <w:p w14:paraId="531484B6" w14:textId="178CB9D0" w:rsidR="0092701F" w:rsidRPr="001725A7" w:rsidRDefault="00400C00" w:rsidP="00400C00">
      <w:pPr>
        <w:ind w:left="360"/>
        <w:rPr>
          <w:rFonts w:asciiTheme="majorHAnsi" w:hAnsiTheme="majorHAnsi"/>
          <w:b/>
          <w:sz w:val="24"/>
          <w:szCs w:val="24"/>
          <w:u w:val="single"/>
        </w:rPr>
      </w:pPr>
      <w:r w:rsidRPr="001725A7">
        <w:rPr>
          <w:rFonts w:asciiTheme="majorHAnsi" w:hAnsiTheme="majorHAnsi"/>
          <w:b/>
          <w:sz w:val="24"/>
          <w:szCs w:val="24"/>
          <w:u w:val="single"/>
        </w:rPr>
        <w:t xml:space="preserve">2.2. </w:t>
      </w:r>
      <w:r w:rsidR="00B54C03" w:rsidRPr="001725A7">
        <w:rPr>
          <w:rFonts w:asciiTheme="majorHAnsi" w:hAnsiTheme="majorHAnsi"/>
          <w:b/>
          <w:sz w:val="24"/>
          <w:szCs w:val="24"/>
          <w:u w:val="single"/>
        </w:rPr>
        <w:t>Multikriteriální analýza</w:t>
      </w:r>
    </w:p>
    <w:p w14:paraId="55341FA5" w14:textId="77777777" w:rsidR="00B54C03" w:rsidRPr="00EC5031" w:rsidRDefault="00B54C03" w:rsidP="00685422">
      <w:pPr>
        <w:jc w:val="both"/>
        <w:rPr>
          <w:rFonts w:asciiTheme="majorHAnsi" w:hAnsiTheme="majorHAnsi"/>
          <w:sz w:val="24"/>
          <w:szCs w:val="24"/>
        </w:rPr>
      </w:pPr>
      <w:r w:rsidRPr="00EC5031">
        <w:rPr>
          <w:rFonts w:asciiTheme="majorHAnsi" w:hAnsiTheme="majorHAnsi"/>
          <w:sz w:val="24"/>
          <w:szCs w:val="24"/>
        </w:rPr>
        <w:t>Jednou z možností jak systematicky hodnotit parametry technologií je multikriteriální an</w:t>
      </w:r>
      <w:r w:rsidR="007E0EA7" w:rsidRPr="00EC5031">
        <w:rPr>
          <w:rFonts w:asciiTheme="majorHAnsi" w:hAnsiTheme="majorHAnsi"/>
          <w:sz w:val="24"/>
          <w:szCs w:val="24"/>
        </w:rPr>
        <w:t xml:space="preserve">alýza (MCA). Výhodou je, že </w:t>
      </w:r>
      <w:r w:rsidRPr="00EC5031">
        <w:rPr>
          <w:rFonts w:asciiTheme="majorHAnsi" w:hAnsiTheme="majorHAnsi"/>
          <w:sz w:val="24"/>
          <w:szCs w:val="24"/>
        </w:rPr>
        <w:t>každému parametru stanoví</w:t>
      </w:r>
      <w:r w:rsidR="007E0EA7" w:rsidRPr="00EC5031">
        <w:rPr>
          <w:rFonts w:asciiTheme="majorHAnsi" w:hAnsiTheme="majorHAnsi"/>
          <w:sz w:val="24"/>
          <w:szCs w:val="24"/>
        </w:rPr>
        <w:t>me</w:t>
      </w:r>
      <w:r w:rsidRPr="00EC5031">
        <w:rPr>
          <w:rFonts w:asciiTheme="majorHAnsi" w:hAnsiTheme="majorHAnsi"/>
          <w:sz w:val="24"/>
          <w:szCs w:val="24"/>
        </w:rPr>
        <w:t xml:space="preserve"> váhy (důležitost při rozhodování) předem. To umožňuje jistou míru konzistence při hodnocení. Nicméně stanovení vah je čistě subjektivní a liší </w:t>
      </w:r>
      <w:r w:rsidR="008A3BB9" w:rsidRPr="00EC5031">
        <w:rPr>
          <w:rFonts w:asciiTheme="majorHAnsi" w:hAnsiTheme="majorHAnsi"/>
          <w:sz w:val="24"/>
          <w:szCs w:val="24"/>
        </w:rPr>
        <w:t xml:space="preserve">se </w:t>
      </w:r>
      <w:r w:rsidRPr="00EC5031">
        <w:rPr>
          <w:rFonts w:asciiTheme="majorHAnsi" w:hAnsiTheme="majorHAnsi"/>
          <w:sz w:val="24"/>
          <w:szCs w:val="24"/>
        </w:rPr>
        <w:t xml:space="preserve">podle zájmových skupin. Např. pro </w:t>
      </w:r>
      <w:r w:rsidR="008A3BB9" w:rsidRPr="00EC5031">
        <w:rPr>
          <w:rFonts w:asciiTheme="majorHAnsi" w:hAnsiTheme="majorHAnsi"/>
          <w:sz w:val="24"/>
          <w:szCs w:val="24"/>
        </w:rPr>
        <w:t xml:space="preserve">nemocného </w:t>
      </w:r>
      <w:r w:rsidRPr="00EC5031">
        <w:rPr>
          <w:rFonts w:asciiTheme="majorHAnsi" w:hAnsiTheme="majorHAnsi"/>
          <w:sz w:val="24"/>
          <w:szCs w:val="24"/>
        </w:rPr>
        <w:t>nebude tak důležit</w:t>
      </w:r>
      <w:r w:rsidR="00E2418B" w:rsidRPr="00EC5031">
        <w:rPr>
          <w:rFonts w:asciiTheme="majorHAnsi" w:hAnsiTheme="majorHAnsi"/>
          <w:sz w:val="24"/>
          <w:szCs w:val="24"/>
        </w:rPr>
        <w:t xml:space="preserve">ý dopad na rozpočet plátce jako účinnost </w:t>
      </w:r>
      <w:r w:rsidR="009A5E75" w:rsidRPr="00EC5031">
        <w:rPr>
          <w:rFonts w:asciiTheme="majorHAnsi" w:hAnsiTheme="majorHAnsi"/>
          <w:sz w:val="24"/>
          <w:szCs w:val="24"/>
        </w:rPr>
        <w:t xml:space="preserve">technologie </w:t>
      </w:r>
      <w:r w:rsidR="00E2418B" w:rsidRPr="00EC5031">
        <w:rPr>
          <w:rFonts w:asciiTheme="majorHAnsi" w:hAnsiTheme="majorHAnsi"/>
          <w:sz w:val="24"/>
          <w:szCs w:val="24"/>
        </w:rPr>
        <w:t xml:space="preserve">či </w:t>
      </w:r>
      <w:r w:rsidR="009A5E75" w:rsidRPr="00EC5031">
        <w:rPr>
          <w:rFonts w:asciiTheme="majorHAnsi" w:hAnsiTheme="majorHAnsi"/>
          <w:sz w:val="24"/>
          <w:szCs w:val="24"/>
        </w:rPr>
        <w:t>zlepšení kvality</w:t>
      </w:r>
      <w:r w:rsidRPr="00EC5031">
        <w:rPr>
          <w:rFonts w:asciiTheme="majorHAnsi" w:hAnsiTheme="majorHAnsi"/>
          <w:sz w:val="24"/>
          <w:szCs w:val="24"/>
        </w:rPr>
        <w:t xml:space="preserve"> </w:t>
      </w:r>
      <w:r w:rsidR="00E2418B" w:rsidRPr="00EC5031">
        <w:rPr>
          <w:rFonts w:asciiTheme="majorHAnsi" w:hAnsiTheme="majorHAnsi"/>
          <w:sz w:val="24"/>
          <w:szCs w:val="24"/>
        </w:rPr>
        <w:t>života</w:t>
      </w:r>
      <w:r w:rsidRPr="00EC5031">
        <w:rPr>
          <w:rFonts w:asciiTheme="majorHAnsi" w:hAnsiTheme="majorHAnsi"/>
          <w:sz w:val="24"/>
          <w:szCs w:val="24"/>
        </w:rPr>
        <w:t xml:space="preserve">. Pro </w:t>
      </w:r>
      <w:r w:rsidR="00867C81" w:rsidRPr="00EC5031">
        <w:rPr>
          <w:rFonts w:asciiTheme="majorHAnsi" w:hAnsiTheme="majorHAnsi"/>
          <w:sz w:val="24"/>
          <w:szCs w:val="24"/>
        </w:rPr>
        <w:t xml:space="preserve">samotné </w:t>
      </w:r>
      <w:r w:rsidRPr="00EC5031">
        <w:rPr>
          <w:rFonts w:asciiTheme="majorHAnsi" w:hAnsiTheme="majorHAnsi"/>
          <w:sz w:val="24"/>
          <w:szCs w:val="24"/>
        </w:rPr>
        <w:t>stanovení vah je vhodné:</w:t>
      </w:r>
    </w:p>
    <w:p w14:paraId="4BAEDB80" w14:textId="77777777" w:rsidR="00B54C03" w:rsidRPr="00EC5031" w:rsidRDefault="008A3BB9" w:rsidP="00685422">
      <w:pPr>
        <w:pStyle w:val="ListParagraph"/>
        <w:numPr>
          <w:ilvl w:val="0"/>
          <w:numId w:val="3"/>
        </w:numPr>
        <w:jc w:val="both"/>
        <w:rPr>
          <w:rFonts w:asciiTheme="majorHAnsi" w:hAnsiTheme="majorHAnsi"/>
          <w:sz w:val="24"/>
          <w:szCs w:val="24"/>
        </w:rPr>
      </w:pPr>
      <w:r w:rsidRPr="00EC5031">
        <w:rPr>
          <w:rFonts w:asciiTheme="majorHAnsi" w:hAnsiTheme="majorHAnsi"/>
          <w:sz w:val="24"/>
          <w:szCs w:val="24"/>
        </w:rPr>
        <w:t>z</w:t>
      </w:r>
      <w:r w:rsidR="00B54C03" w:rsidRPr="00EC5031">
        <w:rPr>
          <w:rFonts w:asciiTheme="majorHAnsi" w:hAnsiTheme="majorHAnsi"/>
          <w:sz w:val="24"/>
          <w:szCs w:val="24"/>
        </w:rPr>
        <w:t xml:space="preserve">volit reprezentativní skupinu </w:t>
      </w:r>
      <w:r w:rsidR="00685422" w:rsidRPr="00EC5031">
        <w:rPr>
          <w:rFonts w:asciiTheme="majorHAnsi" w:hAnsiTheme="majorHAnsi"/>
          <w:sz w:val="24"/>
          <w:szCs w:val="24"/>
        </w:rPr>
        <w:t xml:space="preserve">z </w:t>
      </w:r>
      <w:r w:rsidR="007E0EA7" w:rsidRPr="00EC5031">
        <w:rPr>
          <w:rFonts w:asciiTheme="majorHAnsi" w:hAnsiTheme="majorHAnsi"/>
          <w:sz w:val="24"/>
          <w:szCs w:val="24"/>
        </w:rPr>
        <w:t>více</w:t>
      </w:r>
      <w:r w:rsidR="00685422" w:rsidRPr="00EC5031">
        <w:rPr>
          <w:rFonts w:asciiTheme="majorHAnsi" w:hAnsiTheme="majorHAnsi"/>
          <w:sz w:val="24"/>
          <w:szCs w:val="24"/>
        </w:rPr>
        <w:t xml:space="preserve"> zainteresovaných stran</w:t>
      </w:r>
      <w:r w:rsidRPr="00EC5031">
        <w:rPr>
          <w:rFonts w:asciiTheme="majorHAnsi" w:hAnsiTheme="majorHAnsi"/>
          <w:sz w:val="24"/>
          <w:szCs w:val="24"/>
        </w:rPr>
        <w:t>,</w:t>
      </w:r>
    </w:p>
    <w:p w14:paraId="0E27A02F" w14:textId="77777777" w:rsidR="007E0EA7" w:rsidRPr="00EC5031" w:rsidRDefault="008A3BB9" w:rsidP="00685422">
      <w:pPr>
        <w:pStyle w:val="ListParagraph"/>
        <w:numPr>
          <w:ilvl w:val="0"/>
          <w:numId w:val="3"/>
        </w:numPr>
        <w:jc w:val="both"/>
        <w:rPr>
          <w:rFonts w:asciiTheme="majorHAnsi" w:hAnsiTheme="majorHAnsi"/>
          <w:sz w:val="24"/>
          <w:szCs w:val="24"/>
        </w:rPr>
      </w:pPr>
      <w:r w:rsidRPr="00EC5031">
        <w:rPr>
          <w:rFonts w:asciiTheme="majorHAnsi" w:hAnsiTheme="majorHAnsi"/>
          <w:sz w:val="24"/>
          <w:szCs w:val="24"/>
        </w:rPr>
        <w:t>p</w:t>
      </w:r>
      <w:r w:rsidR="007E0EA7" w:rsidRPr="00EC5031">
        <w:rPr>
          <w:rFonts w:asciiTheme="majorHAnsi" w:hAnsiTheme="majorHAnsi"/>
          <w:sz w:val="24"/>
          <w:szCs w:val="24"/>
        </w:rPr>
        <w:t>rovést pilotní hodnocení</w:t>
      </w:r>
      <w:r w:rsidRPr="00EC5031">
        <w:rPr>
          <w:rFonts w:asciiTheme="majorHAnsi" w:hAnsiTheme="majorHAnsi"/>
          <w:sz w:val="24"/>
          <w:szCs w:val="24"/>
        </w:rPr>
        <w:t>.</w:t>
      </w:r>
    </w:p>
    <w:p w14:paraId="2138E705" w14:textId="77777777" w:rsidR="007E0EA7" w:rsidRPr="00EC5031" w:rsidRDefault="007E0EA7" w:rsidP="00685422">
      <w:pPr>
        <w:jc w:val="both"/>
        <w:rPr>
          <w:rFonts w:asciiTheme="majorHAnsi" w:hAnsiTheme="majorHAnsi"/>
          <w:sz w:val="24"/>
          <w:szCs w:val="24"/>
        </w:rPr>
      </w:pPr>
      <w:r w:rsidRPr="00EC5031">
        <w:rPr>
          <w:rFonts w:asciiTheme="majorHAnsi" w:hAnsiTheme="majorHAnsi"/>
          <w:sz w:val="24"/>
          <w:szCs w:val="24"/>
        </w:rPr>
        <w:t xml:space="preserve">Váhy </w:t>
      </w:r>
      <w:r w:rsidR="009A5E75" w:rsidRPr="00EC5031">
        <w:rPr>
          <w:rFonts w:asciiTheme="majorHAnsi" w:hAnsiTheme="majorHAnsi"/>
          <w:sz w:val="24"/>
          <w:szCs w:val="24"/>
        </w:rPr>
        <w:t>uvedené</w:t>
      </w:r>
      <w:r w:rsidRPr="00EC5031">
        <w:rPr>
          <w:rFonts w:asciiTheme="majorHAnsi" w:hAnsiTheme="majorHAnsi"/>
          <w:sz w:val="24"/>
          <w:szCs w:val="24"/>
        </w:rPr>
        <w:t xml:space="preserve"> níže jsou st</w:t>
      </w:r>
      <w:r w:rsidR="00867C81" w:rsidRPr="00EC5031">
        <w:rPr>
          <w:rFonts w:asciiTheme="majorHAnsi" w:hAnsiTheme="majorHAnsi"/>
          <w:sz w:val="24"/>
          <w:szCs w:val="24"/>
        </w:rPr>
        <w:t>anovené naší pracovní skupinou</w:t>
      </w:r>
      <w:r w:rsidR="00CF101C" w:rsidRPr="00EC5031">
        <w:rPr>
          <w:rFonts w:asciiTheme="majorHAnsi" w:hAnsiTheme="majorHAnsi"/>
          <w:sz w:val="24"/>
          <w:szCs w:val="24"/>
        </w:rPr>
        <w:t xml:space="preserve"> při ČFES</w:t>
      </w:r>
      <w:r w:rsidR="00867C81" w:rsidRPr="00EC5031">
        <w:rPr>
          <w:rFonts w:asciiTheme="majorHAnsi" w:hAnsiTheme="majorHAnsi"/>
          <w:sz w:val="24"/>
          <w:szCs w:val="24"/>
        </w:rPr>
        <w:t xml:space="preserve">, která </w:t>
      </w:r>
      <w:r w:rsidR="00685422" w:rsidRPr="00EC5031">
        <w:rPr>
          <w:rFonts w:asciiTheme="majorHAnsi" w:hAnsiTheme="majorHAnsi"/>
          <w:sz w:val="24"/>
          <w:szCs w:val="24"/>
        </w:rPr>
        <w:t>je složena</w:t>
      </w:r>
      <w:r w:rsidR="00867C81" w:rsidRPr="00EC5031">
        <w:rPr>
          <w:rFonts w:asciiTheme="majorHAnsi" w:hAnsiTheme="majorHAnsi"/>
          <w:sz w:val="24"/>
          <w:szCs w:val="24"/>
        </w:rPr>
        <w:t xml:space="preserve"> ze </w:t>
      </w:r>
      <w:r w:rsidRPr="00EC5031">
        <w:rPr>
          <w:rFonts w:asciiTheme="majorHAnsi" w:hAnsiTheme="majorHAnsi"/>
          <w:sz w:val="24"/>
          <w:szCs w:val="24"/>
        </w:rPr>
        <w:t>z</w:t>
      </w:r>
      <w:r w:rsidR="00867C81" w:rsidRPr="00EC5031">
        <w:rPr>
          <w:rFonts w:asciiTheme="majorHAnsi" w:hAnsiTheme="majorHAnsi"/>
          <w:sz w:val="24"/>
          <w:szCs w:val="24"/>
        </w:rPr>
        <w:t>ástupců</w:t>
      </w:r>
      <w:r w:rsidRPr="00EC5031">
        <w:rPr>
          <w:rFonts w:asciiTheme="majorHAnsi" w:hAnsiTheme="majorHAnsi"/>
          <w:sz w:val="24"/>
          <w:szCs w:val="24"/>
        </w:rPr>
        <w:t xml:space="preserve"> </w:t>
      </w:r>
      <w:r w:rsidR="001817C9" w:rsidRPr="00EC5031">
        <w:rPr>
          <w:rFonts w:asciiTheme="majorHAnsi" w:hAnsiTheme="majorHAnsi"/>
          <w:sz w:val="24"/>
          <w:szCs w:val="24"/>
        </w:rPr>
        <w:t xml:space="preserve">akademické půdy, </w:t>
      </w:r>
      <w:r w:rsidR="00685422" w:rsidRPr="00EC5031">
        <w:rPr>
          <w:rFonts w:asciiTheme="majorHAnsi" w:hAnsiTheme="majorHAnsi"/>
          <w:sz w:val="24"/>
          <w:szCs w:val="24"/>
        </w:rPr>
        <w:t xml:space="preserve">farmaceutického </w:t>
      </w:r>
      <w:r w:rsidRPr="00EC5031">
        <w:rPr>
          <w:rFonts w:asciiTheme="majorHAnsi" w:hAnsiTheme="majorHAnsi"/>
          <w:sz w:val="24"/>
          <w:szCs w:val="24"/>
        </w:rPr>
        <w:t>průmysl</w:t>
      </w:r>
      <w:r w:rsidR="00867C81" w:rsidRPr="00EC5031">
        <w:rPr>
          <w:rFonts w:asciiTheme="majorHAnsi" w:hAnsiTheme="majorHAnsi"/>
          <w:sz w:val="24"/>
          <w:szCs w:val="24"/>
        </w:rPr>
        <w:t xml:space="preserve">u, dodavatelů v oblasti HTA, </w:t>
      </w:r>
      <w:r w:rsidR="00685422" w:rsidRPr="00EC5031">
        <w:rPr>
          <w:rFonts w:asciiTheme="majorHAnsi" w:hAnsiTheme="majorHAnsi"/>
          <w:sz w:val="24"/>
          <w:szCs w:val="24"/>
        </w:rPr>
        <w:t>S</w:t>
      </w:r>
      <w:r w:rsidR="008A3BB9" w:rsidRPr="00EC5031">
        <w:rPr>
          <w:rFonts w:asciiTheme="majorHAnsi" w:hAnsiTheme="majorHAnsi"/>
          <w:sz w:val="24"/>
          <w:szCs w:val="24"/>
        </w:rPr>
        <w:t>Ú</w:t>
      </w:r>
      <w:r w:rsidR="00685422" w:rsidRPr="00EC5031">
        <w:rPr>
          <w:rFonts w:asciiTheme="majorHAnsi" w:hAnsiTheme="majorHAnsi"/>
          <w:sz w:val="24"/>
          <w:szCs w:val="24"/>
        </w:rPr>
        <w:t xml:space="preserve">KL a </w:t>
      </w:r>
      <w:r w:rsidR="00C7566D" w:rsidRPr="00EC5031">
        <w:rPr>
          <w:rFonts w:asciiTheme="majorHAnsi" w:hAnsiTheme="majorHAnsi"/>
          <w:sz w:val="24"/>
          <w:szCs w:val="24"/>
        </w:rPr>
        <w:t>plátců</w:t>
      </w:r>
      <w:r w:rsidR="00867C81" w:rsidRPr="00EC5031">
        <w:rPr>
          <w:rFonts w:asciiTheme="majorHAnsi" w:hAnsiTheme="majorHAnsi"/>
          <w:sz w:val="24"/>
          <w:szCs w:val="24"/>
        </w:rPr>
        <w:t>.</w:t>
      </w:r>
      <w:r w:rsidR="00AD4BD7" w:rsidRPr="00EC5031">
        <w:rPr>
          <w:rFonts w:asciiTheme="majorHAnsi" w:hAnsiTheme="majorHAnsi"/>
          <w:sz w:val="24"/>
          <w:szCs w:val="24"/>
        </w:rPr>
        <w:t xml:space="preserve"> </w:t>
      </w:r>
      <w:r w:rsidR="00867C81" w:rsidRPr="00EC5031">
        <w:rPr>
          <w:rFonts w:asciiTheme="majorHAnsi" w:hAnsiTheme="majorHAnsi"/>
          <w:sz w:val="24"/>
          <w:szCs w:val="24"/>
        </w:rPr>
        <w:t xml:space="preserve">Váhy </w:t>
      </w:r>
      <w:r w:rsidRPr="00EC5031">
        <w:rPr>
          <w:rFonts w:asciiTheme="majorHAnsi" w:hAnsiTheme="majorHAnsi"/>
          <w:sz w:val="24"/>
          <w:szCs w:val="24"/>
        </w:rPr>
        <w:t xml:space="preserve">reflektují </w:t>
      </w:r>
      <w:r w:rsidR="009A5E75" w:rsidRPr="00EC5031">
        <w:rPr>
          <w:rFonts w:asciiTheme="majorHAnsi" w:hAnsiTheme="majorHAnsi"/>
          <w:sz w:val="24"/>
          <w:szCs w:val="24"/>
        </w:rPr>
        <w:t xml:space="preserve">osobní </w:t>
      </w:r>
      <w:r w:rsidRPr="00EC5031">
        <w:rPr>
          <w:rFonts w:asciiTheme="majorHAnsi" w:hAnsiTheme="majorHAnsi"/>
          <w:sz w:val="24"/>
          <w:szCs w:val="24"/>
        </w:rPr>
        <w:t xml:space="preserve">zkušenosti </w:t>
      </w:r>
      <w:r w:rsidR="00CF101C" w:rsidRPr="00EC5031">
        <w:rPr>
          <w:rFonts w:asciiTheme="majorHAnsi" w:hAnsiTheme="majorHAnsi"/>
          <w:sz w:val="24"/>
          <w:szCs w:val="24"/>
        </w:rPr>
        <w:t>a</w:t>
      </w:r>
      <w:r w:rsidR="00AD4BD7" w:rsidRPr="00EC5031">
        <w:rPr>
          <w:rFonts w:asciiTheme="majorHAnsi" w:hAnsiTheme="majorHAnsi"/>
          <w:sz w:val="24"/>
          <w:szCs w:val="24"/>
        </w:rPr>
        <w:t xml:space="preserve"> </w:t>
      </w:r>
      <w:r w:rsidR="00CF101C" w:rsidRPr="00EC5031">
        <w:rPr>
          <w:rFonts w:asciiTheme="majorHAnsi" w:hAnsiTheme="majorHAnsi"/>
          <w:sz w:val="24"/>
          <w:szCs w:val="24"/>
        </w:rPr>
        <w:t xml:space="preserve">názory </w:t>
      </w:r>
      <w:r w:rsidRPr="00EC5031">
        <w:rPr>
          <w:rFonts w:asciiTheme="majorHAnsi" w:hAnsiTheme="majorHAnsi"/>
          <w:sz w:val="24"/>
          <w:szCs w:val="24"/>
        </w:rPr>
        <w:t xml:space="preserve">členů skupiny. </w:t>
      </w:r>
      <w:r w:rsidR="00867C81" w:rsidRPr="00EC5031">
        <w:rPr>
          <w:rFonts w:asciiTheme="majorHAnsi" w:hAnsiTheme="majorHAnsi"/>
          <w:sz w:val="24"/>
          <w:szCs w:val="24"/>
        </w:rPr>
        <w:t>Pro vlastní hodnocení je vhodné stanovi</w:t>
      </w:r>
      <w:r w:rsidR="00685422" w:rsidRPr="00EC5031">
        <w:rPr>
          <w:rFonts w:asciiTheme="majorHAnsi" w:hAnsiTheme="majorHAnsi"/>
          <w:sz w:val="24"/>
          <w:szCs w:val="24"/>
        </w:rPr>
        <w:t xml:space="preserve">t váhy </w:t>
      </w:r>
      <w:r w:rsidR="00CF101C" w:rsidRPr="00EC5031">
        <w:rPr>
          <w:rFonts w:asciiTheme="majorHAnsi" w:hAnsiTheme="majorHAnsi"/>
          <w:sz w:val="24"/>
          <w:szCs w:val="24"/>
        </w:rPr>
        <w:t xml:space="preserve">v rámci </w:t>
      </w:r>
      <w:r w:rsidR="00685422" w:rsidRPr="00EC5031">
        <w:rPr>
          <w:rFonts w:asciiTheme="majorHAnsi" w:hAnsiTheme="majorHAnsi"/>
          <w:sz w:val="24"/>
          <w:szCs w:val="24"/>
        </w:rPr>
        <w:t xml:space="preserve">širší </w:t>
      </w:r>
      <w:r w:rsidR="00CF101C" w:rsidRPr="00EC5031">
        <w:rPr>
          <w:rFonts w:asciiTheme="majorHAnsi" w:hAnsiTheme="majorHAnsi"/>
          <w:sz w:val="24"/>
          <w:szCs w:val="24"/>
        </w:rPr>
        <w:t>skupiny.</w:t>
      </w:r>
    </w:p>
    <w:p w14:paraId="1F036A48" w14:textId="77777777" w:rsidR="00CF101C" w:rsidRPr="00EC5031" w:rsidRDefault="00CF101C" w:rsidP="00CF101C">
      <w:pPr>
        <w:jc w:val="both"/>
        <w:rPr>
          <w:rFonts w:asciiTheme="majorHAnsi" w:hAnsiTheme="majorHAnsi"/>
          <w:sz w:val="24"/>
          <w:szCs w:val="24"/>
        </w:rPr>
      </w:pPr>
      <w:r w:rsidRPr="00EC5031">
        <w:rPr>
          <w:rFonts w:asciiTheme="majorHAnsi" w:hAnsiTheme="majorHAnsi"/>
          <w:sz w:val="24"/>
          <w:szCs w:val="24"/>
        </w:rPr>
        <w:t>Multikriteriální analýza je aktuálním tématem i v rámci světových HTA agentur [</w:t>
      </w:r>
      <w:r w:rsidRPr="00EC5031">
        <w:rPr>
          <w:rFonts w:asciiTheme="majorHAnsi" w:hAnsiTheme="majorHAnsi"/>
          <w:sz w:val="24"/>
          <w:szCs w:val="24"/>
        </w:rPr>
        <w:endnoteReference w:id="1"/>
      </w:r>
      <w:r w:rsidR="001B1C8D" w:rsidRPr="00EC5031">
        <w:rPr>
          <w:rFonts w:asciiTheme="majorHAnsi" w:hAnsiTheme="majorHAnsi"/>
          <w:sz w:val="24"/>
          <w:szCs w:val="24"/>
        </w:rPr>
        <w:t>,</w:t>
      </w:r>
      <w:proofErr w:type="spellStart"/>
      <w:r w:rsidR="001B1C8D" w:rsidRPr="00EC5031">
        <w:rPr>
          <w:rFonts w:asciiTheme="majorHAnsi" w:hAnsiTheme="majorHAnsi"/>
          <w:sz w:val="24"/>
          <w:szCs w:val="24"/>
        </w:rPr>
        <w:t>ii</w:t>
      </w:r>
      <w:proofErr w:type="spellEnd"/>
      <w:r w:rsidRPr="00EC5031">
        <w:rPr>
          <w:rFonts w:asciiTheme="majorHAnsi" w:hAnsiTheme="majorHAnsi"/>
          <w:sz w:val="24"/>
          <w:szCs w:val="24"/>
        </w:rPr>
        <w:t>]. Jednou z nejvíce propracovaných metodik při uplatňování MCDA v rámci HTA procesu popisuje právě systém EVIDEM [</w:t>
      </w:r>
      <w:bookmarkStart w:id="1" w:name="_Ref366799617"/>
      <w:r w:rsidR="001B1C8D" w:rsidRPr="00EC5031">
        <w:rPr>
          <w:rFonts w:asciiTheme="majorHAnsi" w:hAnsiTheme="majorHAnsi"/>
          <w:sz w:val="24"/>
          <w:szCs w:val="24"/>
        </w:rPr>
        <w:t>i</w:t>
      </w:r>
      <w:r w:rsidRPr="00EC5031">
        <w:rPr>
          <w:rFonts w:asciiTheme="majorHAnsi" w:hAnsiTheme="majorHAnsi"/>
          <w:sz w:val="24"/>
          <w:szCs w:val="24"/>
        </w:rPr>
        <w:endnoteReference w:id="2"/>
      </w:r>
      <w:bookmarkEnd w:id="1"/>
      <w:r w:rsidRPr="00EC5031">
        <w:rPr>
          <w:rFonts w:asciiTheme="majorHAnsi" w:hAnsiTheme="majorHAnsi"/>
          <w:sz w:val="24"/>
          <w:szCs w:val="24"/>
        </w:rPr>
        <w:t>].</w:t>
      </w:r>
    </w:p>
    <w:p w14:paraId="61112039" w14:textId="77777777" w:rsidR="007E0EA7" w:rsidRPr="00EC5031" w:rsidRDefault="007E0EA7" w:rsidP="00CF101C">
      <w:pPr>
        <w:jc w:val="both"/>
        <w:rPr>
          <w:rFonts w:asciiTheme="majorHAnsi" w:hAnsiTheme="majorHAnsi"/>
          <w:sz w:val="24"/>
          <w:szCs w:val="24"/>
        </w:rPr>
      </w:pPr>
      <w:r w:rsidRPr="00EC5031">
        <w:rPr>
          <w:rFonts w:asciiTheme="majorHAnsi" w:hAnsiTheme="majorHAnsi"/>
          <w:sz w:val="24"/>
          <w:szCs w:val="24"/>
        </w:rPr>
        <w:t xml:space="preserve">Doporučení </w:t>
      </w:r>
      <w:r w:rsidR="009A5E75" w:rsidRPr="00EC5031">
        <w:rPr>
          <w:rFonts w:asciiTheme="majorHAnsi" w:hAnsiTheme="majorHAnsi"/>
          <w:sz w:val="24"/>
          <w:szCs w:val="24"/>
        </w:rPr>
        <w:t xml:space="preserve">naší </w:t>
      </w:r>
      <w:r w:rsidRPr="00EC5031">
        <w:rPr>
          <w:rFonts w:asciiTheme="majorHAnsi" w:hAnsiTheme="majorHAnsi"/>
          <w:sz w:val="24"/>
          <w:szCs w:val="24"/>
        </w:rPr>
        <w:t>skupiny vychází z</w:t>
      </w:r>
      <w:r w:rsidR="009A5E75" w:rsidRPr="00EC5031">
        <w:rPr>
          <w:rFonts w:asciiTheme="majorHAnsi" w:hAnsiTheme="majorHAnsi"/>
          <w:sz w:val="24"/>
          <w:szCs w:val="24"/>
        </w:rPr>
        <w:t>e škály</w:t>
      </w:r>
      <w:r w:rsidRPr="00EC5031">
        <w:rPr>
          <w:rFonts w:asciiTheme="majorHAnsi" w:hAnsiTheme="majorHAnsi"/>
          <w:sz w:val="24"/>
          <w:szCs w:val="24"/>
        </w:rPr>
        <w:t> </w:t>
      </w:r>
      <w:r w:rsidR="009A5E75" w:rsidRPr="00EC5031">
        <w:rPr>
          <w:rFonts w:asciiTheme="majorHAnsi" w:hAnsiTheme="majorHAnsi"/>
          <w:sz w:val="24"/>
          <w:szCs w:val="24"/>
        </w:rPr>
        <w:t xml:space="preserve">EVIDEM, </w:t>
      </w:r>
      <w:r w:rsidR="00685422" w:rsidRPr="00EC5031">
        <w:rPr>
          <w:rFonts w:asciiTheme="majorHAnsi" w:hAnsiTheme="majorHAnsi"/>
          <w:sz w:val="24"/>
          <w:szCs w:val="24"/>
        </w:rPr>
        <w:t xml:space="preserve">která využívá skórovací systém. </w:t>
      </w:r>
      <w:r w:rsidR="009A5E75" w:rsidRPr="00EC5031">
        <w:rPr>
          <w:rFonts w:asciiTheme="majorHAnsi" w:hAnsiTheme="majorHAnsi"/>
          <w:sz w:val="24"/>
          <w:szCs w:val="24"/>
        </w:rPr>
        <w:t xml:space="preserve">Přílohou </w:t>
      </w:r>
      <w:r w:rsidR="00867C81" w:rsidRPr="00EC5031">
        <w:rPr>
          <w:rFonts w:asciiTheme="majorHAnsi" w:hAnsiTheme="majorHAnsi"/>
          <w:sz w:val="24"/>
          <w:szCs w:val="24"/>
        </w:rPr>
        <w:t xml:space="preserve">tohoto </w:t>
      </w:r>
      <w:r w:rsidR="009A5E75" w:rsidRPr="00EC5031">
        <w:rPr>
          <w:rFonts w:asciiTheme="majorHAnsi" w:hAnsiTheme="majorHAnsi"/>
          <w:sz w:val="24"/>
          <w:szCs w:val="24"/>
        </w:rPr>
        <w:t>doporučení je Excel soubor, který umožňuje</w:t>
      </w:r>
      <w:r w:rsidR="00867C81" w:rsidRPr="00EC5031">
        <w:rPr>
          <w:rFonts w:asciiTheme="majorHAnsi" w:hAnsiTheme="majorHAnsi"/>
          <w:sz w:val="24"/>
          <w:szCs w:val="24"/>
        </w:rPr>
        <w:t xml:space="preserve"> vlastní</w:t>
      </w:r>
      <w:r w:rsidR="009A5E75" w:rsidRPr="00EC5031">
        <w:rPr>
          <w:rFonts w:asciiTheme="majorHAnsi" w:hAnsiTheme="majorHAnsi"/>
          <w:sz w:val="24"/>
          <w:szCs w:val="24"/>
        </w:rPr>
        <w:t xml:space="preserve"> vyhodnocení.</w:t>
      </w:r>
    </w:p>
    <w:p w14:paraId="690E2344" w14:textId="77777777" w:rsidR="00CF101C" w:rsidRPr="00EC5031" w:rsidRDefault="00CF101C" w:rsidP="00CF101C">
      <w:pPr>
        <w:jc w:val="both"/>
        <w:rPr>
          <w:rFonts w:asciiTheme="majorHAnsi" w:hAnsiTheme="majorHAnsi"/>
          <w:sz w:val="24"/>
          <w:szCs w:val="24"/>
        </w:rPr>
      </w:pPr>
    </w:p>
    <w:p w14:paraId="5E6BCB82" w14:textId="0D11AC84" w:rsidR="007E0EA7" w:rsidRPr="00400C00" w:rsidRDefault="00400C00" w:rsidP="00400C00">
      <w:pPr>
        <w:ind w:left="360"/>
        <w:rPr>
          <w:rFonts w:asciiTheme="majorHAnsi" w:hAnsiTheme="majorHAnsi"/>
          <w:b/>
          <w:sz w:val="24"/>
          <w:szCs w:val="24"/>
          <w:u w:val="single"/>
        </w:rPr>
      </w:pPr>
      <w:r w:rsidRPr="00400C00">
        <w:rPr>
          <w:rFonts w:asciiTheme="majorHAnsi" w:hAnsiTheme="majorHAnsi"/>
          <w:b/>
          <w:sz w:val="24"/>
          <w:szCs w:val="24"/>
          <w:u w:val="single"/>
        </w:rPr>
        <w:t xml:space="preserve">2.3. </w:t>
      </w:r>
      <w:r w:rsidR="0061081B" w:rsidRPr="00400C00">
        <w:rPr>
          <w:rFonts w:asciiTheme="majorHAnsi" w:hAnsiTheme="majorHAnsi"/>
          <w:b/>
          <w:sz w:val="24"/>
          <w:szCs w:val="24"/>
          <w:u w:val="single"/>
        </w:rPr>
        <w:t>Parametry hodnocení:</w:t>
      </w:r>
    </w:p>
    <w:p w14:paraId="686B11F7" w14:textId="77777777" w:rsidR="00ED496E" w:rsidRPr="00EC5031" w:rsidRDefault="00ED496E" w:rsidP="00ED496E">
      <w:pPr>
        <w:pStyle w:val="ListParagraph"/>
        <w:ind w:left="0"/>
        <w:rPr>
          <w:rFonts w:asciiTheme="majorHAnsi" w:hAnsiTheme="majorHAnsi"/>
          <w:b/>
          <w:sz w:val="24"/>
          <w:szCs w:val="24"/>
        </w:rPr>
      </w:pPr>
    </w:p>
    <w:p w14:paraId="6E9D2577" w14:textId="305165FD" w:rsidR="00ED496E" w:rsidRPr="00EC5031" w:rsidRDefault="00ED496E" w:rsidP="00ED496E">
      <w:pPr>
        <w:pStyle w:val="ListParagraph"/>
        <w:numPr>
          <w:ilvl w:val="0"/>
          <w:numId w:val="4"/>
        </w:numPr>
        <w:rPr>
          <w:rFonts w:asciiTheme="majorHAnsi" w:hAnsiTheme="majorHAnsi"/>
          <w:b/>
          <w:sz w:val="24"/>
          <w:szCs w:val="24"/>
        </w:rPr>
      </w:pPr>
      <w:r w:rsidRPr="00EC5031">
        <w:rPr>
          <w:rFonts w:asciiTheme="majorHAnsi" w:hAnsiTheme="majorHAnsi"/>
          <w:b/>
          <w:sz w:val="24"/>
          <w:szCs w:val="24"/>
        </w:rPr>
        <w:t>Účinnost</w:t>
      </w:r>
      <w:r w:rsidR="001725A7">
        <w:rPr>
          <w:rFonts w:asciiTheme="majorHAnsi" w:hAnsiTheme="majorHAnsi"/>
          <w:b/>
          <w:sz w:val="24"/>
          <w:szCs w:val="24"/>
        </w:rPr>
        <w:t xml:space="preserve"> </w:t>
      </w:r>
      <w:r w:rsidR="001725A7" w:rsidRPr="001725A7">
        <w:rPr>
          <w:rFonts w:asciiTheme="majorHAnsi" w:hAnsiTheme="majorHAnsi"/>
          <w:b/>
          <w:sz w:val="24"/>
          <w:szCs w:val="24"/>
        </w:rPr>
        <w:t>(viz také kapitola3)</w:t>
      </w:r>
      <w:r w:rsidRPr="00EC5031">
        <w:rPr>
          <w:rFonts w:asciiTheme="majorHAnsi" w:hAnsiTheme="majorHAnsi"/>
          <w:b/>
          <w:sz w:val="24"/>
          <w:szCs w:val="24"/>
        </w:rPr>
        <w:t xml:space="preserve">: </w:t>
      </w:r>
    </w:p>
    <w:p w14:paraId="1DB34649" w14:textId="77777777" w:rsidR="00ED496E" w:rsidRPr="00EC5031" w:rsidRDefault="00ED496E" w:rsidP="00B977C0">
      <w:pPr>
        <w:jc w:val="both"/>
        <w:rPr>
          <w:rFonts w:asciiTheme="majorHAnsi" w:hAnsiTheme="majorHAnsi"/>
          <w:b/>
          <w:sz w:val="24"/>
          <w:szCs w:val="24"/>
        </w:rPr>
      </w:pPr>
      <w:r w:rsidRPr="00EC5031">
        <w:rPr>
          <w:rFonts w:asciiTheme="majorHAnsi" w:hAnsiTheme="majorHAnsi"/>
          <w:b/>
          <w:sz w:val="24"/>
          <w:szCs w:val="24"/>
        </w:rPr>
        <w:lastRenderedPageBreak/>
        <w:t xml:space="preserve">Schopnost </w:t>
      </w:r>
      <w:r w:rsidR="00892AE7" w:rsidRPr="00EC5031">
        <w:rPr>
          <w:rFonts w:asciiTheme="majorHAnsi" w:hAnsiTheme="majorHAnsi"/>
          <w:b/>
          <w:sz w:val="24"/>
          <w:szCs w:val="24"/>
        </w:rPr>
        <w:t>technologie</w:t>
      </w:r>
      <w:r w:rsidRPr="00EC5031">
        <w:rPr>
          <w:rFonts w:asciiTheme="majorHAnsi" w:hAnsiTheme="majorHAnsi"/>
          <w:b/>
          <w:sz w:val="24"/>
          <w:szCs w:val="24"/>
        </w:rPr>
        <w:t xml:space="preserve"> produkovat požadovaný efekt ve srovnání s alternativní </w:t>
      </w:r>
      <w:r w:rsidR="00892AE7" w:rsidRPr="00EC5031">
        <w:rPr>
          <w:rFonts w:asciiTheme="majorHAnsi" w:hAnsiTheme="majorHAnsi"/>
          <w:b/>
          <w:sz w:val="24"/>
          <w:szCs w:val="24"/>
        </w:rPr>
        <w:t>technologií</w:t>
      </w:r>
      <w:r w:rsidRPr="00EC5031">
        <w:rPr>
          <w:rFonts w:asciiTheme="majorHAnsi" w:hAnsiTheme="majorHAnsi"/>
          <w:b/>
          <w:sz w:val="24"/>
          <w:szCs w:val="24"/>
        </w:rPr>
        <w:t xml:space="preserve">. Zahrnuje jak </w:t>
      </w:r>
      <w:r w:rsidR="008A3BB9" w:rsidRPr="00EC5031">
        <w:rPr>
          <w:rFonts w:asciiTheme="majorHAnsi" w:hAnsiTheme="majorHAnsi"/>
          <w:b/>
          <w:sz w:val="24"/>
          <w:szCs w:val="24"/>
        </w:rPr>
        <w:t>„</w:t>
      </w:r>
      <w:proofErr w:type="spellStart"/>
      <w:r w:rsidRPr="00EC5031">
        <w:rPr>
          <w:rFonts w:asciiTheme="majorHAnsi" w:hAnsiTheme="majorHAnsi"/>
          <w:b/>
          <w:sz w:val="24"/>
          <w:szCs w:val="24"/>
        </w:rPr>
        <w:t>efficacy</w:t>
      </w:r>
      <w:proofErr w:type="spellEnd"/>
      <w:r w:rsidR="008A3BB9" w:rsidRPr="00EC5031">
        <w:rPr>
          <w:rFonts w:asciiTheme="majorHAnsi" w:hAnsiTheme="majorHAnsi"/>
          <w:b/>
          <w:sz w:val="24"/>
          <w:szCs w:val="24"/>
        </w:rPr>
        <w:t>“,</w:t>
      </w:r>
      <w:r w:rsidRPr="00EC5031">
        <w:rPr>
          <w:rFonts w:asciiTheme="majorHAnsi" w:hAnsiTheme="majorHAnsi"/>
          <w:b/>
          <w:sz w:val="24"/>
          <w:szCs w:val="24"/>
        </w:rPr>
        <w:t xml:space="preserve"> tak </w:t>
      </w:r>
      <w:r w:rsidR="008A3BB9" w:rsidRPr="00EC5031">
        <w:rPr>
          <w:rFonts w:asciiTheme="majorHAnsi" w:hAnsiTheme="majorHAnsi"/>
          <w:b/>
          <w:sz w:val="24"/>
          <w:szCs w:val="24"/>
        </w:rPr>
        <w:t>i „</w:t>
      </w:r>
      <w:r w:rsidRPr="00EC5031">
        <w:rPr>
          <w:rFonts w:asciiTheme="majorHAnsi" w:hAnsiTheme="majorHAnsi"/>
          <w:b/>
          <w:sz w:val="24"/>
          <w:szCs w:val="24"/>
        </w:rPr>
        <w:t>effectiveness</w:t>
      </w:r>
      <w:r w:rsidR="008A3BB9" w:rsidRPr="00EC5031">
        <w:rPr>
          <w:rFonts w:asciiTheme="majorHAnsi" w:hAnsiTheme="majorHAnsi"/>
          <w:b/>
          <w:sz w:val="24"/>
          <w:szCs w:val="24"/>
        </w:rPr>
        <w:t>“</w:t>
      </w:r>
      <w:r w:rsidRPr="00EC5031">
        <w:rPr>
          <w:rFonts w:asciiTheme="majorHAnsi" w:hAnsiTheme="majorHAnsi"/>
          <w:b/>
          <w:sz w:val="24"/>
          <w:szCs w:val="24"/>
        </w:rPr>
        <w:t xml:space="preserve">. </w:t>
      </w:r>
      <w:r w:rsidR="00892AE7" w:rsidRPr="00EC5031">
        <w:rPr>
          <w:rFonts w:asciiTheme="majorHAnsi" w:hAnsiTheme="majorHAnsi"/>
          <w:b/>
          <w:sz w:val="24"/>
          <w:szCs w:val="24"/>
        </w:rPr>
        <w:t>Technologie</w:t>
      </w:r>
      <w:r w:rsidRPr="00EC5031">
        <w:rPr>
          <w:rFonts w:asciiTheme="majorHAnsi" w:hAnsiTheme="majorHAnsi"/>
          <w:b/>
          <w:sz w:val="24"/>
          <w:szCs w:val="24"/>
        </w:rPr>
        <w:t>, které poskytují vyšší účinnost</w:t>
      </w:r>
      <w:r w:rsidR="00892AE7" w:rsidRPr="00EC5031">
        <w:rPr>
          <w:rFonts w:asciiTheme="majorHAnsi" w:hAnsiTheme="majorHAnsi"/>
          <w:b/>
          <w:sz w:val="24"/>
          <w:szCs w:val="24"/>
        </w:rPr>
        <w:t>,</w:t>
      </w:r>
      <w:r w:rsidRPr="00EC5031">
        <w:rPr>
          <w:rFonts w:asciiTheme="majorHAnsi" w:hAnsiTheme="majorHAnsi"/>
          <w:b/>
          <w:sz w:val="24"/>
          <w:szCs w:val="24"/>
        </w:rPr>
        <w:t xml:space="preserve"> mají vyšší skóre než </w:t>
      </w:r>
      <w:r w:rsidR="00892AE7" w:rsidRPr="00EC5031">
        <w:rPr>
          <w:rFonts w:asciiTheme="majorHAnsi" w:hAnsiTheme="majorHAnsi"/>
          <w:b/>
          <w:sz w:val="24"/>
          <w:szCs w:val="24"/>
        </w:rPr>
        <w:t xml:space="preserve">technologie </w:t>
      </w:r>
      <w:r w:rsidRPr="00EC5031">
        <w:rPr>
          <w:rFonts w:asciiTheme="majorHAnsi" w:hAnsiTheme="majorHAnsi"/>
          <w:b/>
          <w:sz w:val="24"/>
          <w:szCs w:val="24"/>
        </w:rPr>
        <w:t>s nižší účin</w:t>
      </w:r>
      <w:r w:rsidR="00AD1993" w:rsidRPr="00EC5031">
        <w:rPr>
          <w:rFonts w:asciiTheme="majorHAnsi" w:hAnsiTheme="majorHAnsi"/>
          <w:b/>
          <w:sz w:val="24"/>
          <w:szCs w:val="24"/>
        </w:rPr>
        <w:t>ností</w:t>
      </w:r>
      <w:r w:rsidRPr="00EC5031">
        <w:rPr>
          <w:rFonts w:asciiTheme="majorHAnsi" w:hAnsiTheme="majorHAnsi"/>
          <w:b/>
          <w:sz w:val="24"/>
          <w:szCs w:val="24"/>
        </w:rPr>
        <w:t>.</w:t>
      </w:r>
      <w:r w:rsidR="00AD1993" w:rsidRPr="00EC5031">
        <w:rPr>
          <w:rFonts w:asciiTheme="majorHAnsi" w:hAnsiTheme="majorHAnsi"/>
          <w:b/>
          <w:sz w:val="24"/>
          <w:szCs w:val="24"/>
        </w:rPr>
        <w:t xml:space="preserve"> </w:t>
      </w:r>
    </w:p>
    <w:p w14:paraId="019C2255" w14:textId="77777777" w:rsidR="00ED496E" w:rsidRPr="00EC5031" w:rsidRDefault="00ED496E" w:rsidP="00ED496E">
      <w:pPr>
        <w:rPr>
          <w:rFonts w:asciiTheme="majorHAnsi" w:hAnsiTheme="majorHAnsi"/>
          <w:b/>
          <w:sz w:val="24"/>
          <w:szCs w:val="24"/>
        </w:rPr>
      </w:pPr>
      <w:r w:rsidRPr="00EC5031">
        <w:rPr>
          <w:rFonts w:asciiTheme="majorHAnsi" w:hAnsiTheme="majorHAnsi"/>
          <w:b/>
          <w:sz w:val="24"/>
          <w:szCs w:val="24"/>
        </w:rPr>
        <w:t>Návrh skóre:</w:t>
      </w:r>
    </w:p>
    <w:p w14:paraId="5DDDD91D" w14:textId="77777777" w:rsidR="00ED496E" w:rsidRPr="00EC5031" w:rsidRDefault="00ED496E" w:rsidP="00ED496E">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0: Nižší účinnost než komparátor</w:t>
      </w:r>
    </w:p>
    <w:p w14:paraId="22DF1D42" w14:textId="77777777" w:rsidR="00ED496E" w:rsidRPr="00EC5031" w:rsidRDefault="00ED496E" w:rsidP="00ED496E">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1: Stejná účinnost jako komparátor</w:t>
      </w:r>
    </w:p>
    <w:p w14:paraId="6472253F" w14:textId="77777777" w:rsidR="00ED496E" w:rsidRPr="00EC5031" w:rsidRDefault="00ED496E" w:rsidP="00ED496E">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2: Vyšší účinnost než komparátor</w:t>
      </w:r>
    </w:p>
    <w:p w14:paraId="0A0BCB8A" w14:textId="77777777" w:rsidR="00ED496E" w:rsidRPr="00EC5031" w:rsidRDefault="00ED496E" w:rsidP="00ED496E">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3: Výrazně vyšší účinnost než komparátor, větší cílová skupina</w:t>
      </w:r>
    </w:p>
    <w:p w14:paraId="018C24F5" w14:textId="77777777" w:rsidR="00ED496E" w:rsidRPr="00EC5031" w:rsidRDefault="00ED496E" w:rsidP="00ED496E">
      <w:pPr>
        <w:spacing w:after="0" w:line="240" w:lineRule="auto"/>
        <w:rPr>
          <w:rFonts w:asciiTheme="majorHAnsi" w:eastAsia="Times New Roman" w:hAnsiTheme="majorHAnsi" w:cs="Times New Roman"/>
          <w:i/>
          <w:iCs/>
          <w:color w:val="000000"/>
          <w:sz w:val="24"/>
          <w:szCs w:val="24"/>
          <w:lang w:eastAsia="cs-CZ"/>
        </w:rPr>
      </w:pPr>
    </w:p>
    <w:p w14:paraId="78728AD7" w14:textId="77777777" w:rsidR="00ED496E" w:rsidRPr="00EC5031" w:rsidRDefault="00C5543A" w:rsidP="00B977C0">
      <w:pPr>
        <w:spacing w:after="0" w:line="240" w:lineRule="auto"/>
        <w:jc w:val="both"/>
        <w:rPr>
          <w:rFonts w:asciiTheme="majorHAnsi" w:eastAsia="Times New Roman" w:hAnsiTheme="majorHAnsi" w:cs="Times New Roman"/>
          <w:iCs/>
          <w:color w:val="000000"/>
          <w:sz w:val="24"/>
          <w:szCs w:val="24"/>
          <w:lang w:eastAsia="cs-CZ"/>
        </w:rPr>
      </w:pPr>
      <w:r w:rsidRPr="00EC5031">
        <w:rPr>
          <w:rFonts w:asciiTheme="majorHAnsi" w:eastAsia="Times New Roman" w:hAnsiTheme="majorHAnsi" w:cs="Times New Roman"/>
          <w:iCs/>
          <w:color w:val="000000"/>
          <w:sz w:val="24"/>
          <w:szCs w:val="24"/>
          <w:lang w:eastAsia="cs-CZ"/>
        </w:rPr>
        <w:t>Kategorie n</w:t>
      </w:r>
      <w:r w:rsidR="00ED496E" w:rsidRPr="00EC5031">
        <w:rPr>
          <w:rFonts w:asciiTheme="majorHAnsi" w:eastAsia="Times New Roman" w:hAnsiTheme="majorHAnsi" w:cs="Times New Roman"/>
          <w:iCs/>
          <w:color w:val="000000"/>
          <w:sz w:val="24"/>
          <w:szCs w:val="24"/>
          <w:lang w:eastAsia="cs-CZ"/>
        </w:rPr>
        <w:t>ižší a stejná účinnost je snáze hodnotitelná. Pro vyjádření vyšší a výrazně vyšší účinnosti dop</w:t>
      </w:r>
      <w:r w:rsidRPr="00EC5031">
        <w:rPr>
          <w:rFonts w:asciiTheme="majorHAnsi" w:eastAsia="Times New Roman" w:hAnsiTheme="majorHAnsi" w:cs="Times New Roman"/>
          <w:iCs/>
          <w:color w:val="000000"/>
          <w:sz w:val="24"/>
          <w:szCs w:val="24"/>
          <w:lang w:eastAsia="cs-CZ"/>
        </w:rPr>
        <w:t>oručujeme následující parametry, které je třeba</w:t>
      </w:r>
      <w:r w:rsidR="00CF101C" w:rsidRPr="00EC5031">
        <w:rPr>
          <w:rFonts w:asciiTheme="majorHAnsi" w:eastAsia="Times New Roman" w:hAnsiTheme="majorHAnsi" w:cs="Times New Roman"/>
          <w:iCs/>
          <w:color w:val="000000"/>
          <w:sz w:val="24"/>
          <w:szCs w:val="24"/>
          <w:lang w:eastAsia="cs-CZ"/>
        </w:rPr>
        <w:t xml:space="preserve"> pro vlastní hodnocení blíže specifikovat</w:t>
      </w:r>
      <w:r w:rsidRPr="00EC5031">
        <w:rPr>
          <w:rFonts w:asciiTheme="majorHAnsi" w:eastAsia="Times New Roman" w:hAnsiTheme="majorHAnsi" w:cs="Times New Roman"/>
          <w:iCs/>
          <w:color w:val="000000"/>
          <w:sz w:val="24"/>
          <w:szCs w:val="24"/>
          <w:lang w:eastAsia="cs-CZ"/>
        </w:rPr>
        <w:t>.</w:t>
      </w:r>
    </w:p>
    <w:p w14:paraId="5D455104" w14:textId="77777777" w:rsidR="00ED496E" w:rsidRPr="00EC5031" w:rsidRDefault="00ED496E" w:rsidP="00B977C0">
      <w:pPr>
        <w:spacing w:after="0" w:line="240" w:lineRule="auto"/>
        <w:jc w:val="both"/>
        <w:rPr>
          <w:rFonts w:asciiTheme="majorHAnsi" w:eastAsia="Times New Roman" w:hAnsiTheme="majorHAnsi" w:cs="Times New Roman"/>
          <w:iCs/>
          <w:color w:val="000000"/>
          <w:sz w:val="24"/>
          <w:szCs w:val="24"/>
          <w:lang w:eastAsia="cs-CZ"/>
        </w:rPr>
      </w:pPr>
    </w:p>
    <w:tbl>
      <w:tblPr>
        <w:tblW w:w="9952" w:type="dxa"/>
        <w:tblInd w:w="70" w:type="dxa"/>
        <w:tblCellMar>
          <w:left w:w="70" w:type="dxa"/>
          <w:right w:w="70" w:type="dxa"/>
        </w:tblCellMar>
        <w:tblLook w:val="04A0" w:firstRow="1" w:lastRow="0" w:firstColumn="1" w:lastColumn="0" w:noHBand="0" w:noVBand="1"/>
      </w:tblPr>
      <w:tblGrid>
        <w:gridCol w:w="5396"/>
        <w:gridCol w:w="4556"/>
      </w:tblGrid>
      <w:tr w:rsidR="00ED496E" w:rsidRPr="001725A7" w14:paraId="25DDFB0E" w14:textId="77777777" w:rsidTr="00ED496E">
        <w:trPr>
          <w:trHeight w:val="225"/>
        </w:trPr>
        <w:tc>
          <w:tcPr>
            <w:tcW w:w="5396" w:type="dxa"/>
            <w:tcBorders>
              <w:top w:val="nil"/>
              <w:left w:val="nil"/>
              <w:bottom w:val="nil"/>
              <w:right w:val="nil"/>
            </w:tcBorders>
            <w:shd w:val="clear" w:color="auto" w:fill="auto"/>
            <w:noWrap/>
            <w:vAlign w:val="bottom"/>
            <w:hideMark/>
          </w:tcPr>
          <w:p w14:paraId="4741F605" w14:textId="77777777" w:rsidR="00ED496E" w:rsidRPr="001725A7" w:rsidRDefault="00ED496E" w:rsidP="00ED496E">
            <w:pPr>
              <w:spacing w:after="0" w:line="240" w:lineRule="auto"/>
              <w:rPr>
                <w:rFonts w:asciiTheme="majorHAnsi" w:eastAsia="Times New Roman" w:hAnsiTheme="majorHAnsi" w:cs="Times New Roman"/>
                <w:b/>
                <w:bCs/>
                <w:color w:val="000000"/>
                <w:sz w:val="24"/>
                <w:szCs w:val="24"/>
                <w:lang w:eastAsia="cs-CZ"/>
              </w:rPr>
            </w:pPr>
            <w:r w:rsidRPr="001725A7">
              <w:rPr>
                <w:rFonts w:asciiTheme="majorHAnsi" w:eastAsia="Times New Roman" w:hAnsiTheme="majorHAnsi" w:cs="Times New Roman"/>
                <w:b/>
                <w:bCs/>
                <w:color w:val="000000"/>
                <w:sz w:val="24"/>
                <w:szCs w:val="24"/>
                <w:lang w:eastAsia="cs-CZ"/>
              </w:rPr>
              <w:t>Vyšší účinnost:</w:t>
            </w:r>
          </w:p>
        </w:tc>
        <w:tc>
          <w:tcPr>
            <w:tcW w:w="4556" w:type="dxa"/>
            <w:tcBorders>
              <w:top w:val="nil"/>
              <w:left w:val="nil"/>
              <w:bottom w:val="nil"/>
              <w:right w:val="nil"/>
            </w:tcBorders>
            <w:shd w:val="clear" w:color="auto" w:fill="auto"/>
            <w:noWrap/>
            <w:vAlign w:val="bottom"/>
            <w:hideMark/>
          </w:tcPr>
          <w:p w14:paraId="4888096A" w14:textId="77777777" w:rsidR="00ED496E" w:rsidRPr="001725A7" w:rsidRDefault="00ED496E" w:rsidP="00ED496E">
            <w:pPr>
              <w:spacing w:after="0" w:line="240" w:lineRule="auto"/>
              <w:rPr>
                <w:rFonts w:asciiTheme="majorHAnsi" w:eastAsia="Times New Roman" w:hAnsiTheme="majorHAnsi" w:cs="Times New Roman"/>
                <w:b/>
                <w:bCs/>
                <w:color w:val="000000"/>
                <w:sz w:val="24"/>
                <w:szCs w:val="24"/>
                <w:lang w:eastAsia="cs-CZ"/>
              </w:rPr>
            </w:pPr>
            <w:r w:rsidRPr="001725A7">
              <w:rPr>
                <w:rFonts w:asciiTheme="majorHAnsi" w:eastAsia="Times New Roman" w:hAnsiTheme="majorHAnsi" w:cs="Times New Roman"/>
                <w:b/>
                <w:bCs/>
                <w:color w:val="000000"/>
                <w:sz w:val="24"/>
                <w:szCs w:val="24"/>
                <w:lang w:eastAsia="cs-CZ"/>
              </w:rPr>
              <w:t>Výrazně vyšší účinnost</w:t>
            </w:r>
          </w:p>
        </w:tc>
      </w:tr>
      <w:tr w:rsidR="00ED496E" w:rsidRPr="001725A7" w14:paraId="37E1794F" w14:textId="77777777" w:rsidTr="00ED496E">
        <w:trPr>
          <w:trHeight w:val="450"/>
        </w:trPr>
        <w:tc>
          <w:tcPr>
            <w:tcW w:w="5396" w:type="dxa"/>
            <w:tcBorders>
              <w:top w:val="nil"/>
              <w:left w:val="nil"/>
              <w:bottom w:val="nil"/>
              <w:right w:val="nil"/>
            </w:tcBorders>
            <w:shd w:val="clear" w:color="auto" w:fill="auto"/>
            <w:vAlign w:val="bottom"/>
            <w:hideMark/>
          </w:tcPr>
          <w:p w14:paraId="4FF50FDE" w14:textId="77777777" w:rsidR="00ED496E" w:rsidRPr="001725A7" w:rsidRDefault="00ED496E" w:rsidP="00ED496E">
            <w:pPr>
              <w:spacing w:after="0" w:line="240" w:lineRule="auto"/>
              <w:rPr>
                <w:rFonts w:asciiTheme="majorHAnsi" w:eastAsia="Times New Roman" w:hAnsiTheme="majorHAnsi" w:cs="Times New Roman"/>
                <w:i/>
                <w:color w:val="000000"/>
                <w:sz w:val="24"/>
                <w:szCs w:val="24"/>
                <w:lang w:eastAsia="cs-CZ"/>
              </w:rPr>
            </w:pPr>
            <w:r w:rsidRPr="001725A7">
              <w:rPr>
                <w:rFonts w:asciiTheme="majorHAnsi" w:eastAsia="Times New Roman" w:hAnsiTheme="majorHAnsi" w:cs="Times New Roman"/>
                <w:i/>
                <w:color w:val="000000"/>
                <w:sz w:val="24"/>
                <w:szCs w:val="24"/>
                <w:lang w:eastAsia="cs-CZ"/>
              </w:rPr>
              <w:t xml:space="preserve">ovlivnění parametrů onemocnění, které mají </w:t>
            </w:r>
            <w:r w:rsidR="008A3BB9" w:rsidRPr="001725A7">
              <w:rPr>
                <w:rFonts w:asciiTheme="majorHAnsi" w:eastAsia="Times New Roman" w:hAnsiTheme="majorHAnsi" w:cs="Times New Roman"/>
                <w:i/>
                <w:color w:val="000000"/>
                <w:sz w:val="24"/>
                <w:szCs w:val="24"/>
                <w:lang w:eastAsia="cs-CZ"/>
              </w:rPr>
              <w:br/>
            </w:r>
            <w:r w:rsidRPr="001725A7">
              <w:rPr>
                <w:rFonts w:asciiTheme="majorHAnsi" w:eastAsia="Times New Roman" w:hAnsiTheme="majorHAnsi" w:cs="Times New Roman"/>
                <w:i/>
                <w:color w:val="000000"/>
                <w:sz w:val="24"/>
                <w:szCs w:val="24"/>
                <w:lang w:eastAsia="cs-CZ"/>
              </w:rPr>
              <w:t xml:space="preserve">vazbu na klinický projev onemocnění </w:t>
            </w:r>
            <w:r w:rsidR="008A3BB9" w:rsidRPr="001725A7">
              <w:rPr>
                <w:rFonts w:asciiTheme="majorHAnsi" w:eastAsia="Times New Roman" w:hAnsiTheme="majorHAnsi" w:cs="Times New Roman"/>
                <w:i/>
                <w:color w:val="000000"/>
                <w:sz w:val="24"/>
                <w:szCs w:val="24"/>
                <w:lang w:eastAsia="cs-CZ"/>
              </w:rPr>
              <w:br/>
            </w:r>
            <w:r w:rsidRPr="001725A7">
              <w:rPr>
                <w:rFonts w:asciiTheme="majorHAnsi" w:eastAsia="Times New Roman" w:hAnsiTheme="majorHAnsi" w:cs="Times New Roman"/>
                <w:i/>
                <w:color w:val="000000"/>
                <w:sz w:val="24"/>
                <w:szCs w:val="24"/>
                <w:lang w:eastAsia="cs-CZ"/>
              </w:rPr>
              <w:t>(např. glykovaný hemoglobin)</w:t>
            </w:r>
          </w:p>
        </w:tc>
        <w:tc>
          <w:tcPr>
            <w:tcW w:w="4556" w:type="dxa"/>
            <w:tcBorders>
              <w:top w:val="nil"/>
              <w:left w:val="nil"/>
              <w:bottom w:val="nil"/>
              <w:right w:val="nil"/>
            </w:tcBorders>
            <w:shd w:val="clear" w:color="auto" w:fill="auto"/>
            <w:vAlign w:val="bottom"/>
            <w:hideMark/>
          </w:tcPr>
          <w:p w14:paraId="076E91F1" w14:textId="77777777" w:rsidR="00ED496E" w:rsidRPr="001725A7" w:rsidRDefault="00ED496E" w:rsidP="00ED496E">
            <w:pPr>
              <w:spacing w:after="0" w:line="240" w:lineRule="auto"/>
              <w:rPr>
                <w:rFonts w:asciiTheme="majorHAnsi" w:eastAsia="Times New Roman" w:hAnsiTheme="majorHAnsi" w:cs="Times New Roman"/>
                <w:i/>
                <w:color w:val="000000"/>
                <w:sz w:val="24"/>
                <w:szCs w:val="24"/>
                <w:lang w:eastAsia="cs-CZ"/>
              </w:rPr>
            </w:pPr>
            <w:r w:rsidRPr="001725A7">
              <w:rPr>
                <w:rFonts w:asciiTheme="majorHAnsi" w:eastAsia="Times New Roman" w:hAnsiTheme="majorHAnsi" w:cs="Times New Roman"/>
                <w:i/>
                <w:color w:val="000000"/>
                <w:sz w:val="24"/>
                <w:szCs w:val="24"/>
                <w:lang w:eastAsia="cs-CZ"/>
              </w:rPr>
              <w:t>ovlivnění parametrů onemocnění, které mají vazbu na klinický projev onemocnění (např. glykovaný hemoglobin)</w:t>
            </w:r>
          </w:p>
        </w:tc>
      </w:tr>
      <w:tr w:rsidR="00ED496E" w:rsidRPr="001725A7" w14:paraId="7C076CF6" w14:textId="77777777" w:rsidTr="00ED496E">
        <w:trPr>
          <w:trHeight w:val="225"/>
        </w:trPr>
        <w:tc>
          <w:tcPr>
            <w:tcW w:w="5396" w:type="dxa"/>
            <w:tcBorders>
              <w:top w:val="nil"/>
              <w:left w:val="nil"/>
              <w:bottom w:val="nil"/>
              <w:right w:val="nil"/>
            </w:tcBorders>
            <w:shd w:val="clear" w:color="auto" w:fill="auto"/>
            <w:noWrap/>
            <w:vAlign w:val="bottom"/>
            <w:hideMark/>
          </w:tcPr>
          <w:p w14:paraId="5FF78C5C" w14:textId="77777777" w:rsidR="00ED496E" w:rsidRPr="001725A7" w:rsidRDefault="00ED496E" w:rsidP="00ED496E">
            <w:pPr>
              <w:spacing w:after="0" w:line="240" w:lineRule="auto"/>
              <w:rPr>
                <w:rFonts w:asciiTheme="majorHAnsi" w:eastAsia="Times New Roman" w:hAnsiTheme="majorHAnsi" w:cs="Times New Roman"/>
                <w:i/>
                <w:color w:val="000000"/>
                <w:sz w:val="24"/>
                <w:szCs w:val="24"/>
                <w:lang w:eastAsia="cs-CZ"/>
              </w:rPr>
            </w:pPr>
            <w:r w:rsidRPr="001725A7">
              <w:rPr>
                <w:rFonts w:asciiTheme="majorHAnsi" w:eastAsia="Times New Roman" w:hAnsiTheme="majorHAnsi" w:cs="Times New Roman"/>
                <w:i/>
                <w:color w:val="000000"/>
                <w:sz w:val="24"/>
                <w:szCs w:val="24"/>
                <w:lang w:eastAsia="cs-CZ"/>
              </w:rPr>
              <w:t xml:space="preserve">snížení úmrtnosti </w:t>
            </w:r>
          </w:p>
        </w:tc>
        <w:tc>
          <w:tcPr>
            <w:tcW w:w="4556" w:type="dxa"/>
            <w:tcBorders>
              <w:top w:val="nil"/>
              <w:left w:val="nil"/>
              <w:bottom w:val="nil"/>
              <w:right w:val="nil"/>
            </w:tcBorders>
            <w:shd w:val="clear" w:color="auto" w:fill="auto"/>
            <w:noWrap/>
            <w:vAlign w:val="bottom"/>
            <w:hideMark/>
          </w:tcPr>
          <w:p w14:paraId="36D09C42" w14:textId="77777777" w:rsidR="00ED496E" w:rsidRPr="001725A7" w:rsidRDefault="00ED496E" w:rsidP="00ED496E">
            <w:pPr>
              <w:spacing w:after="0" w:line="240" w:lineRule="auto"/>
              <w:rPr>
                <w:rFonts w:asciiTheme="majorHAnsi" w:eastAsia="Times New Roman" w:hAnsiTheme="majorHAnsi" w:cs="Times New Roman"/>
                <w:i/>
                <w:color w:val="000000"/>
                <w:sz w:val="24"/>
                <w:szCs w:val="24"/>
                <w:lang w:eastAsia="cs-CZ"/>
              </w:rPr>
            </w:pPr>
            <w:r w:rsidRPr="001725A7">
              <w:rPr>
                <w:rFonts w:asciiTheme="majorHAnsi" w:eastAsia="Times New Roman" w:hAnsiTheme="majorHAnsi" w:cs="Times New Roman"/>
                <w:i/>
                <w:color w:val="000000"/>
                <w:sz w:val="24"/>
                <w:szCs w:val="24"/>
                <w:lang w:eastAsia="cs-CZ"/>
              </w:rPr>
              <w:t xml:space="preserve">snížení úmrtnosti </w:t>
            </w:r>
          </w:p>
        </w:tc>
      </w:tr>
      <w:tr w:rsidR="00ED496E" w:rsidRPr="001725A7" w14:paraId="1AC5BD33" w14:textId="77777777" w:rsidTr="00ED496E">
        <w:trPr>
          <w:trHeight w:val="225"/>
        </w:trPr>
        <w:tc>
          <w:tcPr>
            <w:tcW w:w="5396" w:type="dxa"/>
            <w:tcBorders>
              <w:top w:val="nil"/>
              <w:left w:val="nil"/>
              <w:bottom w:val="nil"/>
              <w:right w:val="nil"/>
            </w:tcBorders>
            <w:shd w:val="clear" w:color="auto" w:fill="auto"/>
            <w:noWrap/>
            <w:vAlign w:val="bottom"/>
            <w:hideMark/>
          </w:tcPr>
          <w:p w14:paraId="43EC032B" w14:textId="77777777" w:rsidR="00ED496E" w:rsidRPr="001725A7" w:rsidRDefault="00ED496E" w:rsidP="00ED496E">
            <w:pPr>
              <w:spacing w:after="0" w:line="240" w:lineRule="auto"/>
              <w:rPr>
                <w:rFonts w:asciiTheme="majorHAnsi" w:eastAsia="Times New Roman" w:hAnsiTheme="majorHAnsi" w:cs="Times New Roman"/>
                <w:i/>
                <w:color w:val="000000"/>
                <w:sz w:val="24"/>
                <w:szCs w:val="24"/>
                <w:lang w:eastAsia="cs-CZ"/>
              </w:rPr>
            </w:pPr>
            <w:r w:rsidRPr="001725A7">
              <w:rPr>
                <w:rFonts w:asciiTheme="majorHAnsi" w:eastAsia="Times New Roman" w:hAnsiTheme="majorHAnsi" w:cs="Times New Roman"/>
                <w:i/>
                <w:color w:val="000000"/>
                <w:sz w:val="24"/>
                <w:szCs w:val="24"/>
                <w:lang w:eastAsia="cs-CZ"/>
              </w:rPr>
              <w:t>prodloužení předpokládané délky života</w:t>
            </w:r>
          </w:p>
        </w:tc>
        <w:tc>
          <w:tcPr>
            <w:tcW w:w="4556" w:type="dxa"/>
            <w:tcBorders>
              <w:top w:val="nil"/>
              <w:left w:val="nil"/>
              <w:bottom w:val="nil"/>
              <w:right w:val="nil"/>
            </w:tcBorders>
            <w:shd w:val="clear" w:color="auto" w:fill="auto"/>
            <w:noWrap/>
            <w:vAlign w:val="bottom"/>
            <w:hideMark/>
          </w:tcPr>
          <w:p w14:paraId="50424E61" w14:textId="77777777" w:rsidR="00ED496E" w:rsidRPr="001725A7" w:rsidRDefault="00ED496E" w:rsidP="00ED496E">
            <w:pPr>
              <w:spacing w:after="0" w:line="240" w:lineRule="auto"/>
              <w:rPr>
                <w:rFonts w:asciiTheme="majorHAnsi" w:eastAsia="Times New Roman" w:hAnsiTheme="majorHAnsi" w:cs="Times New Roman"/>
                <w:i/>
                <w:color w:val="000000"/>
                <w:sz w:val="24"/>
                <w:szCs w:val="24"/>
                <w:lang w:eastAsia="cs-CZ"/>
              </w:rPr>
            </w:pPr>
            <w:r w:rsidRPr="001725A7">
              <w:rPr>
                <w:rFonts w:asciiTheme="majorHAnsi" w:eastAsia="Times New Roman" w:hAnsiTheme="majorHAnsi" w:cs="Times New Roman"/>
                <w:i/>
                <w:color w:val="000000"/>
                <w:sz w:val="24"/>
                <w:szCs w:val="24"/>
                <w:lang w:eastAsia="cs-CZ"/>
              </w:rPr>
              <w:t xml:space="preserve">prodloužení předpokládané délky života </w:t>
            </w:r>
          </w:p>
        </w:tc>
      </w:tr>
      <w:tr w:rsidR="00ED496E" w:rsidRPr="00EC5031" w14:paraId="0582B426" w14:textId="77777777" w:rsidTr="00ED496E">
        <w:trPr>
          <w:trHeight w:val="225"/>
        </w:trPr>
        <w:tc>
          <w:tcPr>
            <w:tcW w:w="5396" w:type="dxa"/>
            <w:tcBorders>
              <w:top w:val="nil"/>
              <w:left w:val="nil"/>
              <w:bottom w:val="nil"/>
              <w:right w:val="nil"/>
            </w:tcBorders>
            <w:shd w:val="clear" w:color="auto" w:fill="auto"/>
            <w:noWrap/>
            <w:vAlign w:val="bottom"/>
            <w:hideMark/>
          </w:tcPr>
          <w:p w14:paraId="2EF81ED3" w14:textId="77777777" w:rsidR="00ED496E" w:rsidRPr="001725A7" w:rsidRDefault="00ED496E" w:rsidP="00ED496E">
            <w:pPr>
              <w:spacing w:after="0" w:line="240" w:lineRule="auto"/>
              <w:rPr>
                <w:rFonts w:asciiTheme="majorHAnsi" w:eastAsia="Times New Roman" w:hAnsiTheme="majorHAnsi" w:cs="Times New Roman"/>
                <w:i/>
                <w:color w:val="000000"/>
                <w:sz w:val="24"/>
                <w:szCs w:val="24"/>
                <w:lang w:eastAsia="cs-CZ"/>
              </w:rPr>
            </w:pPr>
            <w:r w:rsidRPr="001725A7">
              <w:rPr>
                <w:rFonts w:asciiTheme="majorHAnsi" w:eastAsia="Times New Roman" w:hAnsiTheme="majorHAnsi" w:cs="Times New Roman"/>
                <w:i/>
                <w:color w:val="000000"/>
                <w:sz w:val="24"/>
                <w:szCs w:val="24"/>
                <w:lang w:eastAsia="cs-CZ"/>
              </w:rPr>
              <w:t>snížení rizika hospitalizace či zkrácení doby hospitalizace</w:t>
            </w:r>
          </w:p>
        </w:tc>
        <w:tc>
          <w:tcPr>
            <w:tcW w:w="4556" w:type="dxa"/>
            <w:tcBorders>
              <w:top w:val="nil"/>
              <w:left w:val="nil"/>
              <w:bottom w:val="nil"/>
              <w:right w:val="nil"/>
            </w:tcBorders>
            <w:shd w:val="clear" w:color="auto" w:fill="auto"/>
            <w:noWrap/>
            <w:vAlign w:val="bottom"/>
            <w:hideMark/>
          </w:tcPr>
          <w:p w14:paraId="7FC3618F" w14:textId="77777777" w:rsidR="00ED496E" w:rsidRPr="00EC5031" w:rsidRDefault="00ED496E" w:rsidP="00ED496E">
            <w:pPr>
              <w:spacing w:after="0" w:line="240" w:lineRule="auto"/>
              <w:rPr>
                <w:rFonts w:asciiTheme="majorHAnsi" w:eastAsia="Times New Roman" w:hAnsiTheme="majorHAnsi" w:cs="Times New Roman"/>
                <w:i/>
                <w:color w:val="000000"/>
                <w:sz w:val="24"/>
                <w:szCs w:val="24"/>
                <w:lang w:eastAsia="cs-CZ"/>
              </w:rPr>
            </w:pPr>
            <w:r w:rsidRPr="001725A7">
              <w:rPr>
                <w:rFonts w:asciiTheme="majorHAnsi" w:eastAsia="Times New Roman" w:hAnsiTheme="majorHAnsi" w:cs="Times New Roman"/>
                <w:i/>
                <w:color w:val="000000"/>
                <w:sz w:val="24"/>
                <w:szCs w:val="24"/>
                <w:lang w:eastAsia="cs-CZ"/>
              </w:rPr>
              <w:t>snížení rizika hospitalizace či zkrácení doby hospitalizace</w:t>
            </w:r>
          </w:p>
        </w:tc>
      </w:tr>
    </w:tbl>
    <w:p w14:paraId="0245B966" w14:textId="77777777" w:rsidR="00CF101C" w:rsidRPr="00EC5031" w:rsidRDefault="00CF101C" w:rsidP="00ED496E">
      <w:pPr>
        <w:rPr>
          <w:rFonts w:asciiTheme="majorHAnsi" w:hAnsiTheme="majorHAnsi"/>
          <w:b/>
          <w:i/>
          <w:sz w:val="24"/>
          <w:szCs w:val="24"/>
        </w:rPr>
      </w:pPr>
    </w:p>
    <w:p w14:paraId="47E63C3F" w14:textId="67579522" w:rsidR="00C5543A" w:rsidRPr="00EC5031" w:rsidRDefault="00C5543A" w:rsidP="00C5543A">
      <w:pPr>
        <w:pStyle w:val="ListParagraph"/>
        <w:numPr>
          <w:ilvl w:val="0"/>
          <w:numId w:val="4"/>
        </w:numPr>
        <w:rPr>
          <w:rFonts w:asciiTheme="majorHAnsi" w:hAnsiTheme="majorHAnsi"/>
          <w:b/>
          <w:sz w:val="24"/>
          <w:szCs w:val="24"/>
        </w:rPr>
      </w:pPr>
      <w:r w:rsidRPr="00EC5031">
        <w:rPr>
          <w:rFonts w:asciiTheme="majorHAnsi" w:hAnsiTheme="majorHAnsi"/>
          <w:b/>
          <w:sz w:val="24"/>
          <w:szCs w:val="24"/>
        </w:rPr>
        <w:t>Bezpečnost</w:t>
      </w:r>
      <w:r w:rsidR="001725A7">
        <w:rPr>
          <w:rFonts w:asciiTheme="majorHAnsi" w:hAnsiTheme="majorHAnsi"/>
          <w:b/>
          <w:sz w:val="24"/>
          <w:szCs w:val="24"/>
        </w:rPr>
        <w:t xml:space="preserve"> </w:t>
      </w:r>
      <w:r w:rsidR="001725A7" w:rsidRPr="001725A7">
        <w:rPr>
          <w:rFonts w:asciiTheme="majorHAnsi" w:hAnsiTheme="majorHAnsi"/>
          <w:b/>
          <w:sz w:val="24"/>
          <w:szCs w:val="24"/>
        </w:rPr>
        <w:t>(viz také kapitola3)</w:t>
      </w:r>
      <w:r w:rsidRPr="00EC5031">
        <w:rPr>
          <w:rFonts w:asciiTheme="majorHAnsi" w:hAnsiTheme="majorHAnsi"/>
          <w:b/>
          <w:sz w:val="24"/>
          <w:szCs w:val="24"/>
        </w:rPr>
        <w:t xml:space="preserve">: </w:t>
      </w:r>
    </w:p>
    <w:p w14:paraId="66A20D96" w14:textId="77777777" w:rsidR="00C5543A" w:rsidRPr="00EC5031" w:rsidRDefault="00C5543A" w:rsidP="00B977C0">
      <w:pPr>
        <w:jc w:val="both"/>
        <w:rPr>
          <w:rFonts w:asciiTheme="majorHAnsi" w:hAnsiTheme="majorHAnsi"/>
          <w:b/>
          <w:sz w:val="24"/>
          <w:szCs w:val="24"/>
        </w:rPr>
      </w:pPr>
      <w:r w:rsidRPr="00EC5031">
        <w:rPr>
          <w:rFonts w:asciiTheme="majorHAnsi" w:hAnsiTheme="majorHAnsi"/>
          <w:b/>
          <w:sz w:val="24"/>
          <w:szCs w:val="24"/>
        </w:rPr>
        <w:t xml:space="preserve">Redukce nežádoucích účinků spojených s </w:t>
      </w:r>
      <w:r w:rsidR="00892AE7" w:rsidRPr="00EC5031">
        <w:rPr>
          <w:rFonts w:asciiTheme="majorHAnsi" w:hAnsiTheme="majorHAnsi"/>
          <w:b/>
          <w:sz w:val="24"/>
          <w:szCs w:val="24"/>
        </w:rPr>
        <w:t xml:space="preserve">novou technologií </w:t>
      </w:r>
      <w:r w:rsidRPr="00EC5031">
        <w:rPr>
          <w:rFonts w:asciiTheme="majorHAnsi" w:hAnsiTheme="majorHAnsi"/>
          <w:b/>
          <w:sz w:val="24"/>
          <w:szCs w:val="24"/>
        </w:rPr>
        <w:t>ve srovnání s komparátorem.</w:t>
      </w:r>
      <w:r w:rsidRPr="00EC5031">
        <w:rPr>
          <w:rFonts w:asciiTheme="majorHAnsi" w:hAnsiTheme="majorHAnsi"/>
        </w:rPr>
        <w:t xml:space="preserve">    </w:t>
      </w:r>
      <w:r w:rsidR="00892AE7" w:rsidRPr="00EC5031">
        <w:rPr>
          <w:rFonts w:asciiTheme="majorHAnsi" w:hAnsiTheme="majorHAnsi"/>
          <w:b/>
          <w:sz w:val="24"/>
          <w:szCs w:val="24"/>
        </w:rPr>
        <w:t>Nové technologie</w:t>
      </w:r>
      <w:r w:rsidRPr="00EC5031">
        <w:rPr>
          <w:rFonts w:asciiTheme="majorHAnsi" w:hAnsiTheme="majorHAnsi"/>
          <w:b/>
          <w:sz w:val="24"/>
          <w:szCs w:val="24"/>
        </w:rPr>
        <w:t xml:space="preserve">, které poskytují výrazné zlepšení bezpečnosti a/nebo snášenlivosti mají vyšší hodnotu než </w:t>
      </w:r>
      <w:r w:rsidR="00892AE7" w:rsidRPr="00EC5031">
        <w:rPr>
          <w:rFonts w:asciiTheme="majorHAnsi" w:hAnsiTheme="majorHAnsi"/>
          <w:b/>
          <w:sz w:val="24"/>
          <w:szCs w:val="24"/>
        </w:rPr>
        <w:t xml:space="preserve">technologie </w:t>
      </w:r>
      <w:r w:rsidRPr="00EC5031">
        <w:rPr>
          <w:rFonts w:asciiTheme="majorHAnsi" w:hAnsiTheme="majorHAnsi"/>
          <w:b/>
          <w:sz w:val="24"/>
          <w:szCs w:val="24"/>
        </w:rPr>
        <w:t>s nižší bezpečností a/nebo snášenlivosti ve srovnání s komparátorem. Vždy je vhodné zvážit klinický význam nežádoucích účinků.</w:t>
      </w:r>
    </w:p>
    <w:p w14:paraId="71F01605" w14:textId="77777777" w:rsidR="00C5543A" w:rsidRPr="00EC5031" w:rsidRDefault="00C5543A" w:rsidP="00C5543A">
      <w:pPr>
        <w:rPr>
          <w:rFonts w:asciiTheme="majorHAnsi" w:hAnsiTheme="majorHAnsi"/>
          <w:b/>
          <w:sz w:val="24"/>
          <w:szCs w:val="24"/>
        </w:rPr>
      </w:pPr>
      <w:r w:rsidRPr="00EC5031">
        <w:rPr>
          <w:rFonts w:asciiTheme="majorHAnsi" w:hAnsiTheme="majorHAnsi"/>
          <w:b/>
          <w:sz w:val="24"/>
          <w:szCs w:val="24"/>
        </w:rPr>
        <w:t>Návrh skóre:</w:t>
      </w:r>
    </w:p>
    <w:p w14:paraId="2289B88D" w14:textId="77777777" w:rsidR="00C5543A" w:rsidRPr="00EC5031" w:rsidRDefault="00C5543A" w:rsidP="00C5543A">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0: Nižší bezpečnost/snášenlivost než komparátor</w:t>
      </w:r>
    </w:p>
    <w:p w14:paraId="1879C115" w14:textId="77777777" w:rsidR="00C5543A" w:rsidRPr="00EC5031" w:rsidRDefault="00C5543A" w:rsidP="00C5543A">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1: Stejná bezpečnost/snášenlivost jako komparátor</w:t>
      </w:r>
    </w:p>
    <w:p w14:paraId="11F0FD87" w14:textId="77777777" w:rsidR="00C5543A" w:rsidRPr="00EC5031" w:rsidRDefault="00C5543A" w:rsidP="00C5543A">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2: Zlepšení bezpečnosti/snášenlivosti</w:t>
      </w:r>
    </w:p>
    <w:p w14:paraId="653ACEAD" w14:textId="77777777" w:rsidR="00C5543A" w:rsidRPr="00EC5031" w:rsidRDefault="00C5543A" w:rsidP="00C5543A">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3: Výrazné zlepšení bezpečnosti/snášenlivosti</w:t>
      </w:r>
    </w:p>
    <w:p w14:paraId="1C17AA40" w14:textId="77777777" w:rsidR="00C5543A" w:rsidRPr="00EC5031" w:rsidRDefault="00C5543A" w:rsidP="00414DA4">
      <w:pPr>
        <w:spacing w:after="0" w:line="240" w:lineRule="auto"/>
        <w:rPr>
          <w:rFonts w:asciiTheme="majorHAnsi" w:eastAsia="Times New Roman" w:hAnsiTheme="majorHAnsi" w:cs="Times New Roman"/>
          <w:i/>
          <w:iCs/>
          <w:color w:val="000000"/>
          <w:sz w:val="24"/>
          <w:szCs w:val="24"/>
          <w:lang w:eastAsia="cs-CZ"/>
        </w:rPr>
      </w:pPr>
    </w:p>
    <w:p w14:paraId="52EB2633" w14:textId="77777777" w:rsidR="00CF101C" w:rsidRPr="00EC5031" w:rsidRDefault="00C5543A" w:rsidP="00CF101C">
      <w:pPr>
        <w:spacing w:after="0" w:line="240" w:lineRule="auto"/>
        <w:jc w:val="both"/>
        <w:rPr>
          <w:rFonts w:asciiTheme="majorHAnsi" w:eastAsia="Times New Roman" w:hAnsiTheme="majorHAnsi" w:cs="Times New Roman"/>
          <w:iCs/>
          <w:color w:val="000000"/>
          <w:sz w:val="24"/>
          <w:szCs w:val="24"/>
          <w:lang w:eastAsia="cs-CZ"/>
        </w:rPr>
      </w:pPr>
      <w:r w:rsidRPr="00EC5031">
        <w:rPr>
          <w:rFonts w:asciiTheme="majorHAnsi" w:eastAsia="Times New Roman" w:hAnsiTheme="majorHAnsi" w:cs="Times New Roman"/>
          <w:iCs/>
          <w:color w:val="000000"/>
          <w:sz w:val="24"/>
          <w:szCs w:val="24"/>
          <w:lang w:eastAsia="cs-CZ"/>
        </w:rPr>
        <w:t xml:space="preserve">Kategorie nižší a stejná bezpečnost/snášenlivost je opět snáze hodnotitelná. Pro vyjádření zlepšení a výrazného zlepšení bezpečnosti/snášenlivosti doporučujeme následující parametry, které </w:t>
      </w:r>
      <w:r w:rsidR="00CF101C" w:rsidRPr="00EC5031">
        <w:rPr>
          <w:rFonts w:asciiTheme="majorHAnsi" w:eastAsia="Times New Roman" w:hAnsiTheme="majorHAnsi" w:cs="Times New Roman"/>
          <w:iCs/>
          <w:color w:val="000000"/>
          <w:sz w:val="24"/>
          <w:szCs w:val="24"/>
          <w:lang w:eastAsia="cs-CZ"/>
        </w:rPr>
        <w:t>je třeba pro vlastní hodnocení blíže specifikovat.</w:t>
      </w:r>
    </w:p>
    <w:p w14:paraId="22256146" w14:textId="77777777" w:rsidR="00C5543A" w:rsidRPr="00EC5031" w:rsidRDefault="00C5543A" w:rsidP="00B977C0">
      <w:pPr>
        <w:spacing w:after="0" w:line="240" w:lineRule="auto"/>
        <w:jc w:val="both"/>
        <w:rPr>
          <w:rFonts w:asciiTheme="majorHAnsi" w:eastAsia="Times New Roman" w:hAnsiTheme="majorHAnsi" w:cs="Times New Roman"/>
          <w:iCs/>
          <w:color w:val="000000"/>
          <w:sz w:val="24"/>
          <w:szCs w:val="24"/>
          <w:lang w:eastAsia="cs-CZ"/>
        </w:rPr>
      </w:pPr>
    </w:p>
    <w:tbl>
      <w:tblPr>
        <w:tblW w:w="9952" w:type="dxa"/>
        <w:tblInd w:w="70" w:type="dxa"/>
        <w:tblCellMar>
          <w:left w:w="70" w:type="dxa"/>
          <w:right w:w="70" w:type="dxa"/>
        </w:tblCellMar>
        <w:tblLook w:val="04A0" w:firstRow="1" w:lastRow="0" w:firstColumn="1" w:lastColumn="0" w:noHBand="0" w:noVBand="1"/>
      </w:tblPr>
      <w:tblGrid>
        <w:gridCol w:w="14788"/>
        <w:gridCol w:w="4556"/>
      </w:tblGrid>
      <w:tr w:rsidR="00C5543A" w:rsidRPr="00EC5031" w14:paraId="16369203" w14:textId="77777777" w:rsidTr="00C5543A">
        <w:trPr>
          <w:trHeight w:val="225"/>
        </w:trPr>
        <w:tc>
          <w:tcPr>
            <w:tcW w:w="5396" w:type="dxa"/>
            <w:tcBorders>
              <w:top w:val="nil"/>
              <w:left w:val="nil"/>
              <w:bottom w:val="nil"/>
              <w:right w:val="nil"/>
            </w:tcBorders>
            <w:shd w:val="clear" w:color="auto" w:fill="auto"/>
            <w:noWrap/>
            <w:vAlign w:val="bottom"/>
            <w:hideMark/>
          </w:tcPr>
          <w:p w14:paraId="0F117FBE" w14:textId="77777777" w:rsidR="00C5543A" w:rsidRPr="00EC5031" w:rsidRDefault="00C5543A" w:rsidP="00C5543A">
            <w:pPr>
              <w:spacing w:after="0" w:line="240" w:lineRule="auto"/>
              <w:rPr>
                <w:rFonts w:asciiTheme="majorHAnsi" w:eastAsia="Times New Roman" w:hAnsiTheme="majorHAnsi" w:cs="Times New Roman"/>
                <w:b/>
                <w:bCs/>
                <w:color w:val="000000"/>
                <w:sz w:val="24"/>
                <w:szCs w:val="24"/>
                <w:lang w:eastAsia="cs-CZ"/>
              </w:rPr>
            </w:pPr>
          </w:p>
        </w:tc>
        <w:tc>
          <w:tcPr>
            <w:tcW w:w="4556" w:type="dxa"/>
            <w:tcBorders>
              <w:top w:val="nil"/>
              <w:left w:val="nil"/>
              <w:bottom w:val="nil"/>
              <w:right w:val="nil"/>
            </w:tcBorders>
            <w:shd w:val="clear" w:color="auto" w:fill="auto"/>
            <w:noWrap/>
            <w:vAlign w:val="bottom"/>
            <w:hideMark/>
          </w:tcPr>
          <w:p w14:paraId="2D5E502D" w14:textId="77777777" w:rsidR="00C5543A" w:rsidRPr="00EC5031" w:rsidRDefault="00C5543A" w:rsidP="0077412A">
            <w:pPr>
              <w:spacing w:after="0" w:line="240" w:lineRule="auto"/>
              <w:rPr>
                <w:rFonts w:asciiTheme="majorHAnsi" w:eastAsia="Times New Roman" w:hAnsiTheme="majorHAnsi" w:cs="Times New Roman"/>
                <w:b/>
                <w:bCs/>
                <w:color w:val="000000"/>
                <w:sz w:val="24"/>
                <w:szCs w:val="24"/>
                <w:lang w:eastAsia="cs-CZ"/>
              </w:rPr>
            </w:pPr>
          </w:p>
        </w:tc>
      </w:tr>
      <w:tr w:rsidR="00C5543A" w:rsidRPr="00EC5031" w14:paraId="563FE787" w14:textId="77777777" w:rsidTr="00C5543A">
        <w:trPr>
          <w:trHeight w:val="225"/>
        </w:trPr>
        <w:tc>
          <w:tcPr>
            <w:tcW w:w="5396" w:type="dxa"/>
            <w:tcBorders>
              <w:top w:val="nil"/>
              <w:left w:val="nil"/>
              <w:bottom w:val="nil"/>
              <w:right w:val="nil"/>
            </w:tcBorders>
            <w:shd w:val="clear" w:color="auto" w:fill="auto"/>
            <w:noWrap/>
            <w:vAlign w:val="bottom"/>
            <w:hideMark/>
          </w:tcPr>
          <w:tbl>
            <w:tblPr>
              <w:tblW w:w="9952" w:type="dxa"/>
              <w:tblCellMar>
                <w:left w:w="70" w:type="dxa"/>
                <w:right w:w="70" w:type="dxa"/>
              </w:tblCellMar>
              <w:tblLook w:val="04A0" w:firstRow="1" w:lastRow="0" w:firstColumn="1" w:lastColumn="0" w:noHBand="0" w:noVBand="1"/>
            </w:tblPr>
            <w:tblGrid>
              <w:gridCol w:w="10092"/>
              <w:gridCol w:w="4556"/>
            </w:tblGrid>
            <w:tr w:rsidR="0077412A" w:rsidRPr="00EC5031" w14:paraId="07F74886" w14:textId="77777777" w:rsidTr="0077412A">
              <w:trPr>
                <w:trHeight w:val="225"/>
              </w:trPr>
              <w:tc>
                <w:tcPr>
                  <w:tcW w:w="5396" w:type="dxa"/>
                  <w:tcBorders>
                    <w:top w:val="nil"/>
                    <w:left w:val="nil"/>
                    <w:bottom w:val="nil"/>
                    <w:right w:val="nil"/>
                  </w:tcBorders>
                  <w:shd w:val="clear" w:color="auto" w:fill="auto"/>
                  <w:noWrap/>
                  <w:vAlign w:val="bottom"/>
                  <w:hideMark/>
                </w:tcPr>
                <w:p w14:paraId="468C3164" w14:textId="77777777" w:rsidR="0077412A" w:rsidRPr="00EC5031" w:rsidRDefault="0077412A" w:rsidP="0077412A">
                  <w:pPr>
                    <w:spacing w:after="0" w:line="240" w:lineRule="auto"/>
                    <w:rPr>
                      <w:rFonts w:asciiTheme="majorHAnsi" w:eastAsia="Times New Roman" w:hAnsiTheme="majorHAnsi" w:cs="Times New Roman"/>
                      <w:b/>
                      <w:bCs/>
                      <w:color w:val="000000"/>
                      <w:sz w:val="16"/>
                      <w:szCs w:val="16"/>
                      <w:lang w:eastAsia="cs-CZ"/>
                    </w:rPr>
                  </w:pPr>
                </w:p>
              </w:tc>
              <w:tc>
                <w:tcPr>
                  <w:tcW w:w="4556" w:type="dxa"/>
                  <w:tcBorders>
                    <w:top w:val="nil"/>
                    <w:left w:val="nil"/>
                    <w:bottom w:val="nil"/>
                    <w:right w:val="nil"/>
                  </w:tcBorders>
                  <w:shd w:val="clear" w:color="auto" w:fill="auto"/>
                  <w:noWrap/>
                  <w:vAlign w:val="bottom"/>
                  <w:hideMark/>
                </w:tcPr>
                <w:p w14:paraId="0B4F9AEE" w14:textId="77777777" w:rsidR="0077412A" w:rsidRPr="00EC5031" w:rsidRDefault="0077412A" w:rsidP="0077412A">
                  <w:pPr>
                    <w:spacing w:after="0" w:line="240" w:lineRule="auto"/>
                    <w:rPr>
                      <w:rFonts w:asciiTheme="majorHAnsi" w:eastAsia="Times New Roman" w:hAnsiTheme="majorHAnsi" w:cs="Times New Roman"/>
                      <w:b/>
                      <w:bCs/>
                      <w:color w:val="000000"/>
                      <w:sz w:val="16"/>
                      <w:szCs w:val="16"/>
                      <w:lang w:eastAsia="cs-CZ"/>
                    </w:rPr>
                  </w:pPr>
                </w:p>
              </w:tc>
            </w:tr>
            <w:tr w:rsidR="0077412A" w:rsidRPr="00EC5031" w14:paraId="7FF154B8" w14:textId="77777777" w:rsidTr="0077412A">
              <w:trPr>
                <w:trHeight w:val="225"/>
              </w:trPr>
              <w:tc>
                <w:tcPr>
                  <w:tcW w:w="5396" w:type="dxa"/>
                  <w:tcBorders>
                    <w:top w:val="nil"/>
                    <w:left w:val="nil"/>
                    <w:bottom w:val="nil"/>
                    <w:right w:val="nil"/>
                  </w:tcBorders>
                  <w:shd w:val="clear" w:color="auto" w:fill="auto"/>
                  <w:noWrap/>
                  <w:hideMark/>
                </w:tcPr>
                <w:p w14:paraId="34A5E8AA" w14:textId="77777777" w:rsidR="0077412A" w:rsidRPr="00EC5031" w:rsidRDefault="0077412A" w:rsidP="0077412A">
                  <w:pPr>
                    <w:spacing w:after="0" w:line="240" w:lineRule="auto"/>
                    <w:rPr>
                      <w:rFonts w:asciiTheme="majorHAnsi" w:eastAsia="Times New Roman" w:hAnsiTheme="majorHAnsi" w:cs="Times New Roman"/>
                      <w:color w:val="000000"/>
                      <w:sz w:val="24"/>
                      <w:szCs w:val="24"/>
                      <w:lang w:eastAsia="cs-CZ"/>
                    </w:rPr>
                  </w:pPr>
                </w:p>
                <w:tbl>
                  <w:tblPr>
                    <w:tblW w:w="9952" w:type="dxa"/>
                    <w:tblCellMar>
                      <w:left w:w="70" w:type="dxa"/>
                      <w:right w:w="70" w:type="dxa"/>
                    </w:tblCellMar>
                    <w:tblLook w:val="04A0" w:firstRow="1" w:lastRow="0" w:firstColumn="1" w:lastColumn="0" w:noHBand="0" w:noVBand="1"/>
                  </w:tblPr>
                  <w:tblGrid>
                    <w:gridCol w:w="5396"/>
                    <w:gridCol w:w="4556"/>
                  </w:tblGrid>
                  <w:tr w:rsidR="0077412A" w:rsidRPr="00EC5031" w14:paraId="0832D81C" w14:textId="77777777" w:rsidTr="0077412A">
                    <w:trPr>
                      <w:trHeight w:val="225"/>
                    </w:trPr>
                    <w:tc>
                      <w:tcPr>
                        <w:tcW w:w="5396" w:type="dxa"/>
                        <w:tcBorders>
                          <w:top w:val="nil"/>
                          <w:left w:val="nil"/>
                          <w:bottom w:val="nil"/>
                          <w:right w:val="nil"/>
                        </w:tcBorders>
                        <w:shd w:val="clear" w:color="auto" w:fill="auto"/>
                        <w:noWrap/>
                        <w:vAlign w:val="bottom"/>
                        <w:hideMark/>
                      </w:tcPr>
                      <w:p w14:paraId="5BDB8D22" w14:textId="77777777" w:rsidR="0077412A" w:rsidRPr="00EC5031" w:rsidRDefault="0077412A" w:rsidP="0077412A">
                        <w:pPr>
                          <w:spacing w:after="0" w:line="240" w:lineRule="auto"/>
                          <w:rPr>
                            <w:rFonts w:asciiTheme="majorHAnsi" w:eastAsia="Times New Roman" w:hAnsiTheme="majorHAnsi" w:cs="Times New Roman"/>
                            <w:b/>
                            <w:bCs/>
                            <w:color w:val="000000"/>
                            <w:sz w:val="24"/>
                            <w:szCs w:val="24"/>
                            <w:lang w:eastAsia="cs-CZ"/>
                          </w:rPr>
                        </w:pPr>
                        <w:r w:rsidRPr="00EC5031">
                          <w:rPr>
                            <w:rFonts w:asciiTheme="majorHAnsi" w:eastAsia="Times New Roman" w:hAnsiTheme="majorHAnsi" w:cs="Times New Roman"/>
                            <w:b/>
                            <w:bCs/>
                            <w:color w:val="000000"/>
                            <w:sz w:val="24"/>
                            <w:szCs w:val="24"/>
                            <w:lang w:eastAsia="cs-CZ"/>
                          </w:rPr>
                          <w:t>Zlepšení bezpečnosti/snášenlivosti</w:t>
                        </w:r>
                      </w:p>
                    </w:tc>
                    <w:tc>
                      <w:tcPr>
                        <w:tcW w:w="4556" w:type="dxa"/>
                        <w:tcBorders>
                          <w:top w:val="nil"/>
                          <w:left w:val="nil"/>
                          <w:bottom w:val="nil"/>
                          <w:right w:val="nil"/>
                        </w:tcBorders>
                        <w:shd w:val="clear" w:color="auto" w:fill="auto"/>
                        <w:noWrap/>
                        <w:vAlign w:val="bottom"/>
                        <w:hideMark/>
                      </w:tcPr>
                      <w:p w14:paraId="10C24738" w14:textId="77777777" w:rsidR="0077412A" w:rsidRPr="00EC5031" w:rsidRDefault="0077412A" w:rsidP="0077412A">
                        <w:pPr>
                          <w:spacing w:after="0" w:line="240" w:lineRule="auto"/>
                          <w:rPr>
                            <w:rFonts w:asciiTheme="majorHAnsi" w:eastAsia="Times New Roman" w:hAnsiTheme="majorHAnsi" w:cs="Times New Roman"/>
                            <w:b/>
                            <w:bCs/>
                            <w:color w:val="000000"/>
                            <w:sz w:val="24"/>
                            <w:szCs w:val="24"/>
                            <w:lang w:eastAsia="cs-CZ"/>
                          </w:rPr>
                        </w:pPr>
                        <w:r w:rsidRPr="00EC5031">
                          <w:rPr>
                            <w:rFonts w:asciiTheme="majorHAnsi" w:eastAsia="Times New Roman" w:hAnsiTheme="majorHAnsi" w:cs="Times New Roman"/>
                            <w:b/>
                            <w:bCs/>
                            <w:color w:val="000000"/>
                            <w:sz w:val="24"/>
                            <w:szCs w:val="24"/>
                            <w:lang w:eastAsia="cs-CZ"/>
                          </w:rPr>
                          <w:t>Výrazné zlepšení bezpečnosti/snášenlivosti</w:t>
                        </w:r>
                      </w:p>
                    </w:tc>
                  </w:tr>
                  <w:tr w:rsidR="0077412A" w:rsidRPr="00EC5031" w14:paraId="33D4ECB5" w14:textId="77777777" w:rsidTr="0077412A">
                    <w:trPr>
                      <w:trHeight w:val="225"/>
                    </w:trPr>
                    <w:tc>
                      <w:tcPr>
                        <w:tcW w:w="5396" w:type="dxa"/>
                        <w:tcBorders>
                          <w:top w:val="nil"/>
                          <w:left w:val="nil"/>
                          <w:bottom w:val="nil"/>
                          <w:right w:val="nil"/>
                        </w:tcBorders>
                        <w:shd w:val="clear" w:color="auto" w:fill="auto"/>
                        <w:noWrap/>
                        <w:vAlign w:val="bottom"/>
                        <w:hideMark/>
                      </w:tcPr>
                      <w:p w14:paraId="21995675" w14:textId="77777777" w:rsidR="0077412A" w:rsidRPr="00EC5031" w:rsidRDefault="0077412A" w:rsidP="0077412A">
                        <w:pPr>
                          <w:spacing w:after="0" w:line="240" w:lineRule="auto"/>
                          <w:rPr>
                            <w:rFonts w:asciiTheme="majorHAnsi" w:eastAsia="Times New Roman" w:hAnsiTheme="majorHAnsi" w:cs="Times New Roman"/>
                            <w:color w:val="000000"/>
                            <w:sz w:val="24"/>
                            <w:szCs w:val="24"/>
                            <w:lang w:eastAsia="cs-CZ"/>
                          </w:rPr>
                        </w:pPr>
                        <w:r w:rsidRPr="00EC5031">
                          <w:rPr>
                            <w:rFonts w:asciiTheme="majorHAnsi" w:eastAsia="Times New Roman" w:hAnsiTheme="majorHAnsi" w:cs="Times New Roman"/>
                            <w:color w:val="000000"/>
                            <w:sz w:val="24"/>
                            <w:szCs w:val="24"/>
                            <w:lang w:eastAsia="cs-CZ"/>
                          </w:rPr>
                          <w:t>snížení výskytu nežádoucích účinků</w:t>
                        </w:r>
                      </w:p>
                    </w:tc>
                    <w:tc>
                      <w:tcPr>
                        <w:tcW w:w="4556" w:type="dxa"/>
                        <w:tcBorders>
                          <w:top w:val="nil"/>
                          <w:left w:val="nil"/>
                          <w:bottom w:val="nil"/>
                          <w:right w:val="nil"/>
                        </w:tcBorders>
                        <w:shd w:val="clear" w:color="auto" w:fill="auto"/>
                        <w:noWrap/>
                        <w:vAlign w:val="bottom"/>
                        <w:hideMark/>
                      </w:tcPr>
                      <w:p w14:paraId="12968765" w14:textId="77777777" w:rsidR="0077412A" w:rsidRPr="00EC5031" w:rsidRDefault="0077412A" w:rsidP="0077412A">
                        <w:pPr>
                          <w:spacing w:after="0" w:line="240" w:lineRule="auto"/>
                          <w:rPr>
                            <w:rFonts w:asciiTheme="majorHAnsi" w:eastAsia="Times New Roman" w:hAnsiTheme="majorHAnsi" w:cs="Times New Roman"/>
                            <w:color w:val="000000"/>
                            <w:sz w:val="24"/>
                            <w:szCs w:val="24"/>
                            <w:lang w:eastAsia="cs-CZ"/>
                          </w:rPr>
                        </w:pPr>
                        <w:r w:rsidRPr="00EC5031">
                          <w:rPr>
                            <w:rFonts w:asciiTheme="majorHAnsi" w:eastAsia="Times New Roman" w:hAnsiTheme="majorHAnsi" w:cs="Times New Roman"/>
                            <w:color w:val="000000"/>
                            <w:sz w:val="24"/>
                            <w:szCs w:val="24"/>
                            <w:lang w:eastAsia="cs-CZ"/>
                          </w:rPr>
                          <w:t xml:space="preserve">snížení výskytu závažných nežádoucích </w:t>
                        </w:r>
                        <w:r w:rsidRPr="00EC5031">
                          <w:rPr>
                            <w:rFonts w:asciiTheme="majorHAnsi" w:eastAsia="Times New Roman" w:hAnsiTheme="majorHAnsi" w:cs="Times New Roman"/>
                            <w:color w:val="000000"/>
                            <w:sz w:val="24"/>
                            <w:szCs w:val="24"/>
                            <w:lang w:eastAsia="cs-CZ"/>
                          </w:rPr>
                          <w:lastRenderedPageBreak/>
                          <w:t>účinků (např. dlouhodobé)</w:t>
                        </w:r>
                      </w:p>
                    </w:tc>
                  </w:tr>
                  <w:tr w:rsidR="0077412A" w:rsidRPr="00EC5031" w14:paraId="3F9878AB" w14:textId="77777777" w:rsidTr="0077412A">
                    <w:trPr>
                      <w:trHeight w:val="450"/>
                    </w:trPr>
                    <w:tc>
                      <w:tcPr>
                        <w:tcW w:w="5396" w:type="dxa"/>
                        <w:tcBorders>
                          <w:top w:val="nil"/>
                          <w:left w:val="nil"/>
                          <w:bottom w:val="nil"/>
                          <w:right w:val="nil"/>
                        </w:tcBorders>
                        <w:shd w:val="clear" w:color="auto" w:fill="auto"/>
                        <w:noWrap/>
                        <w:vAlign w:val="bottom"/>
                        <w:hideMark/>
                      </w:tcPr>
                      <w:p w14:paraId="0A89AC61" w14:textId="77777777" w:rsidR="0077412A" w:rsidRPr="00EC5031" w:rsidRDefault="0077412A" w:rsidP="0077412A">
                        <w:pPr>
                          <w:spacing w:after="0" w:line="240" w:lineRule="auto"/>
                          <w:rPr>
                            <w:rFonts w:asciiTheme="majorHAnsi" w:eastAsia="Times New Roman" w:hAnsiTheme="majorHAnsi" w:cs="Times New Roman"/>
                            <w:color w:val="000000"/>
                            <w:sz w:val="24"/>
                            <w:szCs w:val="24"/>
                            <w:lang w:eastAsia="cs-CZ"/>
                          </w:rPr>
                        </w:pPr>
                        <w:r w:rsidRPr="00EC5031">
                          <w:rPr>
                            <w:rFonts w:asciiTheme="majorHAnsi" w:eastAsia="Times New Roman" w:hAnsiTheme="majorHAnsi" w:cs="Times New Roman"/>
                            <w:color w:val="000000"/>
                            <w:sz w:val="24"/>
                            <w:szCs w:val="24"/>
                            <w:lang w:eastAsia="cs-CZ"/>
                          </w:rPr>
                          <w:lastRenderedPageBreak/>
                          <w:t>snížení výskytu závažných nežádoucích účinků</w:t>
                        </w:r>
                      </w:p>
                    </w:tc>
                    <w:tc>
                      <w:tcPr>
                        <w:tcW w:w="4556" w:type="dxa"/>
                        <w:tcBorders>
                          <w:top w:val="nil"/>
                          <w:left w:val="nil"/>
                          <w:bottom w:val="nil"/>
                          <w:right w:val="nil"/>
                        </w:tcBorders>
                        <w:shd w:val="clear" w:color="auto" w:fill="auto"/>
                        <w:vAlign w:val="bottom"/>
                        <w:hideMark/>
                      </w:tcPr>
                      <w:p w14:paraId="5EA6C9CC" w14:textId="77777777" w:rsidR="0077412A" w:rsidRPr="00EC5031" w:rsidRDefault="0077412A" w:rsidP="0077412A">
                        <w:pPr>
                          <w:spacing w:after="0" w:line="240" w:lineRule="auto"/>
                          <w:rPr>
                            <w:rFonts w:asciiTheme="majorHAnsi" w:eastAsia="Times New Roman" w:hAnsiTheme="majorHAnsi" w:cs="Times New Roman"/>
                            <w:color w:val="000000"/>
                            <w:sz w:val="24"/>
                            <w:szCs w:val="24"/>
                            <w:lang w:eastAsia="cs-CZ"/>
                          </w:rPr>
                        </w:pPr>
                        <w:r w:rsidRPr="00EC5031">
                          <w:rPr>
                            <w:rFonts w:asciiTheme="majorHAnsi" w:eastAsia="Times New Roman" w:hAnsiTheme="majorHAnsi" w:cs="Times New Roman"/>
                            <w:color w:val="000000"/>
                            <w:sz w:val="24"/>
                            <w:szCs w:val="24"/>
                            <w:lang w:eastAsia="cs-CZ"/>
                          </w:rPr>
                          <w:t>snížení počtu pacientů, kteří ukončí terapii z důvodu závažných nežádoucích účinků</w:t>
                        </w:r>
                      </w:p>
                    </w:tc>
                  </w:tr>
                  <w:tr w:rsidR="0077412A" w:rsidRPr="00EC5031" w14:paraId="49BDE57C" w14:textId="77777777" w:rsidTr="0077412A">
                    <w:trPr>
                      <w:trHeight w:val="450"/>
                    </w:trPr>
                    <w:tc>
                      <w:tcPr>
                        <w:tcW w:w="5396" w:type="dxa"/>
                        <w:tcBorders>
                          <w:top w:val="nil"/>
                          <w:left w:val="nil"/>
                          <w:bottom w:val="nil"/>
                          <w:right w:val="nil"/>
                        </w:tcBorders>
                        <w:shd w:val="clear" w:color="auto" w:fill="auto"/>
                        <w:vAlign w:val="bottom"/>
                        <w:hideMark/>
                      </w:tcPr>
                      <w:p w14:paraId="5759FEA1" w14:textId="77777777" w:rsidR="0077412A" w:rsidRPr="00EC5031" w:rsidRDefault="0077412A" w:rsidP="0077412A">
                        <w:pPr>
                          <w:spacing w:after="0" w:line="240" w:lineRule="auto"/>
                          <w:rPr>
                            <w:rFonts w:asciiTheme="majorHAnsi" w:eastAsia="Times New Roman" w:hAnsiTheme="majorHAnsi" w:cs="Times New Roman"/>
                            <w:color w:val="000000"/>
                            <w:sz w:val="24"/>
                            <w:szCs w:val="24"/>
                            <w:lang w:eastAsia="cs-CZ"/>
                          </w:rPr>
                        </w:pPr>
                        <w:r w:rsidRPr="00EC5031">
                          <w:rPr>
                            <w:rFonts w:asciiTheme="majorHAnsi" w:eastAsia="Times New Roman" w:hAnsiTheme="majorHAnsi" w:cs="Times New Roman"/>
                            <w:color w:val="000000"/>
                            <w:sz w:val="24"/>
                            <w:szCs w:val="24"/>
                            <w:lang w:eastAsia="cs-CZ"/>
                          </w:rPr>
                          <w:t>snížení počtu pacientů, kteří ukončí terapii z důvodu závažných nežádoucích účinků</w:t>
                        </w:r>
                      </w:p>
                      <w:p w14:paraId="328A3D68" w14:textId="77777777" w:rsidR="00037850" w:rsidRPr="00EC5031" w:rsidRDefault="00037850" w:rsidP="0077412A">
                        <w:pPr>
                          <w:spacing w:after="0" w:line="240" w:lineRule="auto"/>
                          <w:rPr>
                            <w:rFonts w:asciiTheme="majorHAnsi" w:eastAsia="Times New Roman" w:hAnsiTheme="majorHAnsi" w:cs="Times New Roman"/>
                            <w:color w:val="000000"/>
                            <w:sz w:val="24"/>
                            <w:szCs w:val="24"/>
                            <w:lang w:eastAsia="cs-CZ"/>
                          </w:rPr>
                        </w:pPr>
                      </w:p>
                      <w:p w14:paraId="7C628D3A" w14:textId="77777777" w:rsidR="00AD1993" w:rsidRPr="00EC5031" w:rsidRDefault="00AD1993" w:rsidP="0077412A">
                        <w:pPr>
                          <w:spacing w:after="0" w:line="240" w:lineRule="auto"/>
                          <w:rPr>
                            <w:rFonts w:asciiTheme="majorHAnsi" w:eastAsia="Times New Roman" w:hAnsiTheme="majorHAnsi" w:cs="Times New Roman"/>
                            <w:color w:val="000000"/>
                            <w:sz w:val="24"/>
                            <w:szCs w:val="24"/>
                            <w:lang w:eastAsia="cs-CZ"/>
                          </w:rPr>
                        </w:pPr>
                      </w:p>
                    </w:tc>
                    <w:tc>
                      <w:tcPr>
                        <w:tcW w:w="4556" w:type="dxa"/>
                        <w:tcBorders>
                          <w:top w:val="nil"/>
                          <w:left w:val="nil"/>
                          <w:bottom w:val="nil"/>
                          <w:right w:val="nil"/>
                        </w:tcBorders>
                        <w:shd w:val="clear" w:color="auto" w:fill="auto"/>
                        <w:noWrap/>
                        <w:vAlign w:val="bottom"/>
                        <w:hideMark/>
                      </w:tcPr>
                      <w:p w14:paraId="6BD0F117" w14:textId="77777777" w:rsidR="0077412A" w:rsidRPr="00EC5031" w:rsidRDefault="0077412A" w:rsidP="0077412A">
                        <w:pPr>
                          <w:spacing w:after="0" w:line="240" w:lineRule="auto"/>
                          <w:rPr>
                            <w:rFonts w:asciiTheme="majorHAnsi" w:eastAsia="Times New Roman" w:hAnsiTheme="majorHAnsi" w:cs="Times New Roman"/>
                            <w:color w:val="000000"/>
                            <w:sz w:val="24"/>
                            <w:szCs w:val="24"/>
                            <w:lang w:eastAsia="cs-CZ"/>
                          </w:rPr>
                        </w:pPr>
                      </w:p>
                    </w:tc>
                  </w:tr>
                </w:tbl>
                <w:p w14:paraId="15198FB4" w14:textId="77777777" w:rsidR="0077412A" w:rsidRPr="00EC5031" w:rsidRDefault="00C324B9" w:rsidP="00414DA4">
                  <w:pPr>
                    <w:pStyle w:val="ListParagraph"/>
                    <w:numPr>
                      <w:ilvl w:val="0"/>
                      <w:numId w:val="4"/>
                    </w:numPr>
                    <w:rPr>
                      <w:rFonts w:asciiTheme="majorHAnsi" w:eastAsia="Times New Roman" w:hAnsiTheme="majorHAnsi" w:cs="Times New Roman"/>
                      <w:b/>
                      <w:color w:val="000000"/>
                      <w:sz w:val="24"/>
                      <w:szCs w:val="24"/>
                      <w:lang w:eastAsia="cs-CZ"/>
                    </w:rPr>
                  </w:pPr>
                  <w:r w:rsidRPr="00EC5031">
                    <w:rPr>
                      <w:rFonts w:asciiTheme="majorHAnsi" w:hAnsiTheme="majorHAnsi"/>
                      <w:b/>
                      <w:sz w:val="24"/>
                      <w:szCs w:val="24"/>
                    </w:rPr>
                    <w:t>Závažnost onemocnění</w:t>
                  </w:r>
                </w:p>
              </w:tc>
              <w:tc>
                <w:tcPr>
                  <w:tcW w:w="4556" w:type="dxa"/>
                  <w:tcBorders>
                    <w:top w:val="nil"/>
                    <w:left w:val="nil"/>
                    <w:bottom w:val="nil"/>
                    <w:right w:val="nil"/>
                  </w:tcBorders>
                  <w:shd w:val="clear" w:color="auto" w:fill="auto"/>
                  <w:noWrap/>
                  <w:hideMark/>
                </w:tcPr>
                <w:p w14:paraId="10AAB513" w14:textId="77777777" w:rsidR="0077412A" w:rsidRPr="00EC5031" w:rsidRDefault="0077412A" w:rsidP="0077412A">
                  <w:pPr>
                    <w:spacing w:after="0" w:line="240" w:lineRule="auto"/>
                    <w:rPr>
                      <w:rFonts w:asciiTheme="majorHAnsi" w:eastAsia="Times New Roman" w:hAnsiTheme="majorHAnsi" w:cs="Times New Roman"/>
                      <w:color w:val="000000"/>
                      <w:sz w:val="16"/>
                      <w:szCs w:val="16"/>
                      <w:lang w:eastAsia="cs-CZ"/>
                    </w:rPr>
                  </w:pPr>
                </w:p>
              </w:tc>
            </w:tr>
            <w:tr w:rsidR="0077412A" w:rsidRPr="00EC5031" w14:paraId="3E54C248" w14:textId="77777777" w:rsidTr="0077412A">
              <w:trPr>
                <w:trHeight w:val="450"/>
              </w:trPr>
              <w:tc>
                <w:tcPr>
                  <w:tcW w:w="5396" w:type="dxa"/>
                  <w:tcBorders>
                    <w:top w:val="nil"/>
                    <w:left w:val="nil"/>
                    <w:bottom w:val="nil"/>
                    <w:right w:val="nil"/>
                  </w:tcBorders>
                  <w:shd w:val="clear" w:color="auto" w:fill="auto"/>
                  <w:noWrap/>
                  <w:hideMark/>
                </w:tcPr>
                <w:p w14:paraId="684C073C" w14:textId="77777777" w:rsidR="0077412A" w:rsidRPr="00EC5031" w:rsidRDefault="00C324B9" w:rsidP="00B977C0">
                  <w:pPr>
                    <w:spacing w:after="0" w:line="240" w:lineRule="auto"/>
                    <w:jc w:val="both"/>
                    <w:rPr>
                      <w:rFonts w:asciiTheme="majorHAnsi" w:eastAsia="Times New Roman" w:hAnsiTheme="majorHAnsi" w:cs="Times New Roman"/>
                      <w:b/>
                      <w:color w:val="000000"/>
                      <w:sz w:val="24"/>
                      <w:szCs w:val="24"/>
                      <w:lang w:eastAsia="cs-CZ"/>
                    </w:rPr>
                  </w:pPr>
                  <w:r w:rsidRPr="00EC5031">
                    <w:rPr>
                      <w:rFonts w:asciiTheme="majorHAnsi" w:eastAsia="Times New Roman" w:hAnsiTheme="majorHAnsi" w:cs="Times New Roman"/>
                      <w:b/>
                      <w:color w:val="000000"/>
                      <w:sz w:val="24"/>
                      <w:szCs w:val="24"/>
                      <w:lang w:eastAsia="cs-CZ"/>
                    </w:rPr>
                    <w:lastRenderedPageBreak/>
                    <w:t xml:space="preserve">Jedná se o </w:t>
                  </w:r>
                  <w:r w:rsidR="00414DA4" w:rsidRPr="00EC5031">
                    <w:rPr>
                      <w:rFonts w:asciiTheme="majorHAnsi" w:eastAsia="Times New Roman" w:hAnsiTheme="majorHAnsi" w:cs="Times New Roman"/>
                      <w:b/>
                      <w:color w:val="000000"/>
                      <w:sz w:val="24"/>
                      <w:szCs w:val="24"/>
                      <w:lang w:eastAsia="cs-CZ"/>
                    </w:rPr>
                    <w:t xml:space="preserve">hodnocení </w:t>
                  </w:r>
                  <w:r w:rsidRPr="00EC5031">
                    <w:rPr>
                      <w:rFonts w:asciiTheme="majorHAnsi" w:eastAsia="Times New Roman" w:hAnsiTheme="majorHAnsi" w:cs="Times New Roman"/>
                      <w:b/>
                      <w:color w:val="000000"/>
                      <w:sz w:val="24"/>
                      <w:szCs w:val="24"/>
                      <w:lang w:eastAsia="cs-CZ"/>
                    </w:rPr>
                    <w:t>závažnost</w:t>
                  </w:r>
                  <w:r w:rsidR="00414DA4" w:rsidRPr="00EC5031">
                    <w:rPr>
                      <w:rFonts w:asciiTheme="majorHAnsi" w:eastAsia="Times New Roman" w:hAnsiTheme="majorHAnsi" w:cs="Times New Roman"/>
                      <w:b/>
                      <w:color w:val="000000"/>
                      <w:sz w:val="24"/>
                      <w:szCs w:val="24"/>
                      <w:lang w:eastAsia="cs-CZ"/>
                    </w:rPr>
                    <w:t>i</w:t>
                  </w:r>
                  <w:r w:rsidRPr="00EC5031">
                    <w:rPr>
                      <w:rFonts w:asciiTheme="majorHAnsi" w:eastAsia="Times New Roman" w:hAnsiTheme="majorHAnsi" w:cs="Times New Roman"/>
                      <w:b/>
                      <w:color w:val="000000"/>
                      <w:sz w:val="24"/>
                      <w:szCs w:val="24"/>
                      <w:lang w:eastAsia="cs-CZ"/>
                    </w:rPr>
                    <w:t xml:space="preserve"> zdravotního stavu pacientů léčených pomocí navrhované </w:t>
                  </w:r>
                  <w:r w:rsidR="00892AE7" w:rsidRPr="00EC5031">
                    <w:rPr>
                      <w:rFonts w:asciiTheme="majorHAnsi" w:eastAsia="Times New Roman" w:hAnsiTheme="majorHAnsi" w:cs="Times New Roman"/>
                      <w:b/>
                      <w:color w:val="000000"/>
                      <w:sz w:val="24"/>
                      <w:szCs w:val="24"/>
                      <w:lang w:eastAsia="cs-CZ"/>
                    </w:rPr>
                    <w:t xml:space="preserve">technologie </w:t>
                  </w:r>
                  <w:r w:rsidRPr="00EC5031">
                    <w:rPr>
                      <w:rFonts w:asciiTheme="majorHAnsi" w:eastAsia="Times New Roman" w:hAnsiTheme="majorHAnsi" w:cs="Times New Roman"/>
                      <w:b/>
                      <w:color w:val="000000"/>
                      <w:sz w:val="24"/>
                      <w:szCs w:val="24"/>
                      <w:lang w:eastAsia="cs-CZ"/>
                    </w:rPr>
                    <w:t xml:space="preserve">(nebo závažnost zdravotního stavu, kterému se chceme vyhnout), </w:t>
                  </w:r>
                  <w:r w:rsidR="00414DA4" w:rsidRPr="00EC5031">
                    <w:rPr>
                      <w:rFonts w:asciiTheme="majorHAnsi" w:eastAsia="Times New Roman" w:hAnsiTheme="majorHAnsi" w:cs="Times New Roman"/>
                      <w:b/>
                      <w:color w:val="000000"/>
                      <w:sz w:val="24"/>
                      <w:szCs w:val="24"/>
                      <w:lang w:eastAsia="cs-CZ"/>
                    </w:rPr>
                    <w:t xml:space="preserve">zejména s ohledem </w:t>
                  </w:r>
                  <w:r w:rsidR="008A3BB9" w:rsidRPr="00EC5031">
                    <w:rPr>
                      <w:rFonts w:asciiTheme="majorHAnsi" w:eastAsia="Times New Roman" w:hAnsiTheme="majorHAnsi" w:cs="Times New Roman"/>
                      <w:b/>
                      <w:color w:val="000000"/>
                      <w:sz w:val="24"/>
                      <w:szCs w:val="24"/>
                      <w:lang w:eastAsia="cs-CZ"/>
                    </w:rPr>
                    <w:br/>
                  </w:r>
                  <w:r w:rsidR="00414DA4" w:rsidRPr="00EC5031">
                    <w:rPr>
                      <w:rFonts w:asciiTheme="majorHAnsi" w:eastAsia="Times New Roman" w:hAnsiTheme="majorHAnsi" w:cs="Times New Roman"/>
                      <w:b/>
                      <w:color w:val="000000"/>
                      <w:sz w:val="24"/>
                      <w:szCs w:val="24"/>
                      <w:lang w:eastAsia="cs-CZ"/>
                    </w:rPr>
                    <w:t>na</w:t>
                  </w:r>
                  <w:r w:rsidRPr="00EC5031">
                    <w:rPr>
                      <w:rFonts w:asciiTheme="majorHAnsi" w:eastAsia="Times New Roman" w:hAnsiTheme="majorHAnsi" w:cs="Times New Roman"/>
                      <w:b/>
                      <w:color w:val="000000"/>
                      <w:sz w:val="24"/>
                      <w:szCs w:val="24"/>
                      <w:lang w:eastAsia="cs-CZ"/>
                    </w:rPr>
                    <w:t xml:space="preserve"> míru úmrtnosti, dopad na kvalitu života či klinický průběh</w:t>
                  </w:r>
                  <w:r w:rsidR="00414DA4" w:rsidRPr="00EC5031">
                    <w:rPr>
                      <w:rFonts w:asciiTheme="majorHAnsi" w:eastAsia="Times New Roman" w:hAnsiTheme="majorHAnsi" w:cs="Times New Roman"/>
                      <w:b/>
                      <w:color w:val="000000"/>
                      <w:sz w:val="24"/>
                      <w:szCs w:val="24"/>
                      <w:lang w:eastAsia="cs-CZ"/>
                    </w:rPr>
                    <w:t xml:space="preserve"> onemocnění.</w:t>
                  </w:r>
                </w:p>
                <w:p w14:paraId="47BE7452" w14:textId="77777777" w:rsidR="00C324B9" w:rsidRPr="00EC5031" w:rsidRDefault="00C324B9" w:rsidP="00B977C0">
                  <w:pPr>
                    <w:spacing w:after="0" w:line="240" w:lineRule="auto"/>
                    <w:jc w:val="both"/>
                    <w:rPr>
                      <w:rFonts w:asciiTheme="majorHAnsi" w:eastAsia="Times New Roman" w:hAnsiTheme="majorHAnsi" w:cs="Times New Roman"/>
                      <w:b/>
                      <w:color w:val="000000"/>
                      <w:sz w:val="24"/>
                      <w:szCs w:val="24"/>
                      <w:lang w:eastAsia="cs-CZ"/>
                    </w:rPr>
                  </w:pPr>
                </w:p>
                <w:p w14:paraId="70813A5D" w14:textId="77777777" w:rsidR="00C324B9" w:rsidRPr="00EC5031" w:rsidRDefault="00C324B9" w:rsidP="00B977C0">
                  <w:pPr>
                    <w:jc w:val="both"/>
                    <w:rPr>
                      <w:rFonts w:asciiTheme="majorHAnsi" w:eastAsia="Times New Roman" w:hAnsiTheme="majorHAnsi" w:cs="Times New Roman"/>
                      <w:color w:val="000000"/>
                      <w:sz w:val="24"/>
                      <w:szCs w:val="24"/>
                      <w:lang w:eastAsia="cs-CZ"/>
                    </w:rPr>
                  </w:pPr>
                  <w:r w:rsidRPr="00EC5031">
                    <w:rPr>
                      <w:rFonts w:asciiTheme="majorHAnsi" w:eastAsia="Times New Roman" w:hAnsiTheme="majorHAnsi" w:cs="Times New Roman"/>
                      <w:color w:val="000000"/>
                      <w:sz w:val="24"/>
                      <w:szCs w:val="24"/>
                      <w:lang w:eastAsia="cs-CZ"/>
                    </w:rPr>
                    <w:t xml:space="preserve">Závažnost choroby přispívá k hodnotě </w:t>
                  </w:r>
                  <w:r w:rsidR="00892AE7" w:rsidRPr="00EC5031">
                    <w:rPr>
                      <w:rFonts w:asciiTheme="majorHAnsi" w:eastAsia="Times New Roman" w:hAnsiTheme="majorHAnsi" w:cs="Times New Roman"/>
                      <w:color w:val="000000"/>
                      <w:sz w:val="24"/>
                      <w:szCs w:val="24"/>
                      <w:lang w:eastAsia="cs-CZ"/>
                    </w:rPr>
                    <w:t>technologie</w:t>
                  </w:r>
                  <w:r w:rsidRPr="00EC5031">
                    <w:rPr>
                      <w:rFonts w:asciiTheme="majorHAnsi" w:eastAsia="Times New Roman" w:hAnsiTheme="majorHAnsi" w:cs="Times New Roman"/>
                      <w:color w:val="000000"/>
                      <w:sz w:val="24"/>
                      <w:szCs w:val="24"/>
                      <w:lang w:eastAsia="cs-CZ"/>
                    </w:rPr>
                    <w:t xml:space="preserve">, protože obvykle existuje shoda, že zmírňování závažného stavu je důležitější než zmírňování mírnějšího stavu. Směr stupnice je tedy založen na etickém principu poctivosti, jenž přiděluje vyšší hodnotu </w:t>
                  </w:r>
                  <w:r w:rsidR="00892AE7" w:rsidRPr="00EC5031">
                    <w:rPr>
                      <w:rFonts w:asciiTheme="majorHAnsi" w:eastAsia="Times New Roman" w:hAnsiTheme="majorHAnsi" w:cs="Times New Roman"/>
                      <w:color w:val="000000"/>
                      <w:sz w:val="24"/>
                      <w:szCs w:val="24"/>
                      <w:lang w:eastAsia="cs-CZ"/>
                    </w:rPr>
                    <w:t>technologiím</w:t>
                  </w:r>
                  <w:r w:rsidRPr="00EC5031">
                    <w:rPr>
                      <w:rFonts w:asciiTheme="majorHAnsi" w:eastAsia="Times New Roman" w:hAnsiTheme="majorHAnsi" w:cs="Times New Roman"/>
                      <w:color w:val="000000"/>
                      <w:sz w:val="24"/>
                      <w:szCs w:val="24"/>
                      <w:lang w:eastAsia="cs-CZ"/>
                    </w:rPr>
                    <w:t>, které zmírňují situaci u těch, kteří jsou v nejhorším stavu.</w:t>
                  </w:r>
                </w:p>
                <w:p w14:paraId="28A8F40D" w14:textId="77777777" w:rsidR="00C324B9" w:rsidRPr="00EC5031" w:rsidRDefault="00C324B9" w:rsidP="00C324B9">
                  <w:pPr>
                    <w:rPr>
                      <w:rFonts w:asciiTheme="majorHAnsi" w:hAnsiTheme="majorHAnsi"/>
                      <w:b/>
                      <w:sz w:val="24"/>
                      <w:szCs w:val="24"/>
                    </w:rPr>
                  </w:pPr>
                  <w:r w:rsidRPr="00EC5031">
                    <w:rPr>
                      <w:rFonts w:asciiTheme="majorHAnsi" w:hAnsiTheme="majorHAnsi"/>
                      <w:b/>
                      <w:sz w:val="24"/>
                      <w:szCs w:val="24"/>
                    </w:rPr>
                    <w:t>Návrh skóre:</w:t>
                  </w:r>
                </w:p>
                <w:p w14:paraId="74A770B5" w14:textId="77777777" w:rsidR="00C324B9" w:rsidRPr="00EC5031" w:rsidRDefault="00C324B9" w:rsidP="00414DA4">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0: Drobné nesnáze</w:t>
                  </w:r>
                </w:p>
                <w:p w14:paraId="569BD5BA" w14:textId="77777777" w:rsidR="00C324B9" w:rsidRPr="00EC5031" w:rsidRDefault="00C324B9" w:rsidP="00414DA4">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1: Choroba ovlivňující kvalitu života</w:t>
                  </w:r>
                </w:p>
                <w:p w14:paraId="336311B8" w14:textId="77777777" w:rsidR="00C324B9" w:rsidRPr="00EC5031" w:rsidRDefault="00C324B9" w:rsidP="00414DA4">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2: Choroba spojená s invaliditou</w:t>
                  </w:r>
                </w:p>
                <w:p w14:paraId="7AAB8ED1" w14:textId="77777777" w:rsidR="00C324B9" w:rsidRPr="00EC5031" w:rsidRDefault="008D65FF" w:rsidP="00414DA4">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3: Život ohrožující choroba</w:t>
                  </w:r>
                </w:p>
                <w:p w14:paraId="2292D300" w14:textId="77777777" w:rsidR="00414DA4" w:rsidRPr="00EC5031" w:rsidRDefault="00414DA4" w:rsidP="00414DA4">
                  <w:pPr>
                    <w:pStyle w:val="ListParagraph"/>
                    <w:rPr>
                      <w:rFonts w:asciiTheme="majorHAnsi" w:hAnsiTheme="majorHAnsi"/>
                      <w:b/>
                      <w:sz w:val="24"/>
                      <w:szCs w:val="24"/>
                    </w:rPr>
                  </w:pPr>
                </w:p>
                <w:p w14:paraId="75B57034" w14:textId="77777777" w:rsidR="00C324B9" w:rsidRPr="00EC5031" w:rsidRDefault="00C324B9" w:rsidP="00C324B9">
                  <w:pPr>
                    <w:pStyle w:val="ListParagraph"/>
                    <w:numPr>
                      <w:ilvl w:val="0"/>
                      <w:numId w:val="4"/>
                    </w:numPr>
                    <w:rPr>
                      <w:rFonts w:asciiTheme="majorHAnsi" w:hAnsiTheme="majorHAnsi"/>
                      <w:b/>
                      <w:sz w:val="24"/>
                      <w:szCs w:val="24"/>
                    </w:rPr>
                  </w:pPr>
                  <w:r w:rsidRPr="00EC5031">
                    <w:rPr>
                      <w:rFonts w:asciiTheme="majorHAnsi" w:hAnsiTheme="majorHAnsi"/>
                      <w:b/>
                      <w:sz w:val="24"/>
                      <w:szCs w:val="24"/>
                    </w:rPr>
                    <w:t>Dopad na rozpočet</w:t>
                  </w:r>
                </w:p>
                <w:p w14:paraId="4C9E667D" w14:textId="77777777" w:rsidR="00913A68" w:rsidRPr="00EC5031" w:rsidRDefault="008E4BC3" w:rsidP="001B1C8D">
                  <w:pPr>
                    <w:spacing w:after="0" w:line="240" w:lineRule="auto"/>
                    <w:jc w:val="both"/>
                    <w:rPr>
                      <w:rFonts w:asciiTheme="majorHAnsi" w:hAnsiTheme="majorHAnsi"/>
                    </w:rPr>
                  </w:pPr>
                  <w:r w:rsidRPr="00EC5031">
                    <w:rPr>
                      <w:rFonts w:asciiTheme="majorHAnsi" w:eastAsia="Times New Roman" w:hAnsiTheme="majorHAnsi" w:cs="Times New Roman"/>
                      <w:color w:val="000000"/>
                      <w:sz w:val="24"/>
                      <w:szCs w:val="24"/>
                      <w:lang w:eastAsia="cs-CZ"/>
                    </w:rPr>
                    <w:t xml:space="preserve">Předpokládaný </w:t>
                  </w:r>
                  <w:r w:rsidR="00E54B8B" w:rsidRPr="00EC5031">
                    <w:rPr>
                      <w:rFonts w:asciiTheme="majorHAnsi" w:eastAsia="Times New Roman" w:hAnsiTheme="majorHAnsi" w:cs="Times New Roman"/>
                      <w:color w:val="000000"/>
                      <w:sz w:val="24"/>
                      <w:szCs w:val="24"/>
                      <w:lang w:eastAsia="cs-CZ"/>
                    </w:rPr>
                    <w:t xml:space="preserve">roční </w:t>
                  </w:r>
                  <w:r w:rsidRPr="00EC5031">
                    <w:rPr>
                      <w:rFonts w:asciiTheme="majorHAnsi" w:eastAsia="Times New Roman" w:hAnsiTheme="majorHAnsi" w:cs="Times New Roman"/>
                      <w:color w:val="000000"/>
                      <w:sz w:val="24"/>
                      <w:szCs w:val="24"/>
                      <w:lang w:eastAsia="cs-CZ"/>
                    </w:rPr>
                    <w:t xml:space="preserve">dopad na rozpočet plátce, který zahrnuje </w:t>
                  </w:r>
                  <w:r w:rsidR="00E54B8B" w:rsidRPr="00EC5031">
                    <w:rPr>
                      <w:rFonts w:asciiTheme="majorHAnsi" w:eastAsia="Times New Roman" w:hAnsiTheme="majorHAnsi" w:cs="Times New Roman"/>
                      <w:color w:val="000000"/>
                      <w:sz w:val="24"/>
                      <w:szCs w:val="24"/>
                      <w:lang w:eastAsia="cs-CZ"/>
                    </w:rPr>
                    <w:t xml:space="preserve">relevantní </w:t>
                  </w:r>
                  <w:r w:rsidRPr="00EC5031">
                    <w:rPr>
                      <w:rFonts w:asciiTheme="majorHAnsi" w:eastAsia="Times New Roman" w:hAnsiTheme="majorHAnsi" w:cs="Times New Roman"/>
                      <w:color w:val="000000"/>
                      <w:sz w:val="24"/>
                      <w:szCs w:val="24"/>
                      <w:lang w:eastAsia="cs-CZ"/>
                    </w:rPr>
                    <w:t xml:space="preserve">přímé náklady na </w:t>
                  </w:r>
                  <w:r w:rsidR="00892AE7" w:rsidRPr="00EC5031">
                    <w:rPr>
                      <w:rFonts w:asciiTheme="majorHAnsi" w:eastAsia="Times New Roman" w:hAnsiTheme="majorHAnsi" w:cs="Times New Roman"/>
                      <w:color w:val="000000"/>
                      <w:sz w:val="24"/>
                      <w:szCs w:val="24"/>
                      <w:lang w:eastAsia="cs-CZ"/>
                    </w:rPr>
                    <w:t>technologii</w:t>
                  </w:r>
                  <w:r w:rsidR="00E54B8B" w:rsidRPr="00EC5031">
                    <w:rPr>
                      <w:rFonts w:asciiTheme="majorHAnsi" w:eastAsia="Times New Roman" w:hAnsiTheme="majorHAnsi" w:cs="Times New Roman"/>
                      <w:color w:val="000000"/>
                      <w:sz w:val="24"/>
                      <w:szCs w:val="24"/>
                      <w:lang w:eastAsia="cs-CZ"/>
                    </w:rPr>
                    <w:t>, tedy n</w:t>
                  </w:r>
                  <w:r w:rsidRPr="00EC5031">
                    <w:rPr>
                      <w:rFonts w:asciiTheme="majorHAnsi" w:eastAsia="Times New Roman" w:hAnsiTheme="majorHAnsi" w:cs="Times New Roman"/>
                      <w:color w:val="000000"/>
                      <w:sz w:val="24"/>
                      <w:szCs w:val="24"/>
                      <w:lang w:eastAsia="cs-CZ"/>
                    </w:rPr>
                    <w:t>ejen pořizovací cenu léku či jiné technologie.</w:t>
                  </w:r>
                  <w:r w:rsidR="00913A68" w:rsidRPr="00EC5031">
                    <w:rPr>
                      <w:rFonts w:asciiTheme="majorHAnsi" w:eastAsia="Times New Roman" w:hAnsiTheme="majorHAnsi" w:cs="Times New Roman"/>
                      <w:color w:val="000000"/>
                      <w:sz w:val="24"/>
                      <w:szCs w:val="24"/>
                      <w:lang w:eastAsia="cs-CZ"/>
                    </w:rPr>
                    <w:t xml:space="preserve"> Hodnotíme primárně dopad třetím rokem.</w:t>
                  </w:r>
                  <w:r w:rsidR="00913A68" w:rsidRPr="00EC5031">
                    <w:rPr>
                      <w:rFonts w:asciiTheme="majorHAnsi" w:hAnsiTheme="majorHAnsi"/>
                      <w:color w:val="1F497D" w:themeColor="dark2"/>
                    </w:rPr>
                    <w:t xml:space="preserve"> </w:t>
                  </w:r>
                  <w:r w:rsidR="00913A68" w:rsidRPr="00EC5031">
                    <w:rPr>
                      <w:rFonts w:asciiTheme="majorHAnsi" w:hAnsiTheme="majorHAnsi"/>
                    </w:rPr>
                    <w:t>U hraničních přípravků by hodnotitel měl vzít v potaz analýzu sensitivity. Odchylka např. 10 % je akceptovatelná.</w:t>
                  </w:r>
                </w:p>
                <w:p w14:paraId="73CE9CF4" w14:textId="77777777" w:rsidR="00E54B8B" w:rsidRPr="00EC5031" w:rsidRDefault="00E54B8B" w:rsidP="001B1C8D">
                  <w:pPr>
                    <w:autoSpaceDE w:val="0"/>
                    <w:autoSpaceDN w:val="0"/>
                    <w:adjustRightInd w:val="0"/>
                    <w:spacing w:after="0" w:line="240" w:lineRule="auto"/>
                    <w:jc w:val="both"/>
                    <w:rPr>
                      <w:rFonts w:asciiTheme="majorHAnsi" w:eastAsia="Times New Roman" w:hAnsiTheme="majorHAnsi" w:cs="Times New Roman"/>
                      <w:color w:val="000000"/>
                      <w:sz w:val="24"/>
                      <w:szCs w:val="24"/>
                      <w:lang w:eastAsia="cs-CZ"/>
                    </w:rPr>
                  </w:pPr>
                  <w:r w:rsidRPr="00EC5031">
                    <w:rPr>
                      <w:rFonts w:asciiTheme="majorHAnsi" w:eastAsia="Times New Roman" w:hAnsiTheme="majorHAnsi" w:cs="Times New Roman"/>
                      <w:color w:val="000000"/>
                      <w:sz w:val="24"/>
                      <w:szCs w:val="24"/>
                      <w:lang w:eastAsia="cs-CZ"/>
                    </w:rPr>
                    <w:t xml:space="preserve">Příklady dopadu na rozpočet </w:t>
                  </w:r>
                  <w:r w:rsidR="00414DA4" w:rsidRPr="00EC5031">
                    <w:rPr>
                      <w:rFonts w:asciiTheme="majorHAnsi" w:eastAsia="Times New Roman" w:hAnsiTheme="majorHAnsi" w:cs="Times New Roman"/>
                      <w:color w:val="000000"/>
                      <w:sz w:val="24"/>
                      <w:szCs w:val="24"/>
                      <w:lang w:eastAsia="cs-CZ"/>
                    </w:rPr>
                    <w:t xml:space="preserve">níže </w:t>
                  </w:r>
                  <w:r w:rsidR="00913A68" w:rsidRPr="00EC5031">
                    <w:rPr>
                      <w:rFonts w:asciiTheme="majorHAnsi" w:eastAsia="Times New Roman" w:hAnsiTheme="majorHAnsi" w:cs="Times New Roman"/>
                      <w:color w:val="000000"/>
                      <w:sz w:val="24"/>
                      <w:szCs w:val="24"/>
                      <w:lang w:eastAsia="cs-CZ"/>
                    </w:rPr>
                    <w:t>představují doporučení skupiny.</w:t>
                  </w:r>
                  <w:r w:rsidRPr="00EC5031">
                    <w:rPr>
                      <w:rFonts w:asciiTheme="majorHAnsi" w:eastAsia="Times New Roman" w:hAnsiTheme="majorHAnsi" w:cs="Times New Roman"/>
                      <w:color w:val="000000"/>
                      <w:sz w:val="24"/>
                      <w:szCs w:val="24"/>
                      <w:lang w:eastAsia="cs-CZ"/>
                    </w:rPr>
                    <w:t xml:space="preserve"> Posuzovatel je samozřejmě může měnit.</w:t>
                  </w:r>
                </w:p>
                <w:p w14:paraId="58682AC9" w14:textId="77777777" w:rsidR="008E4BC3" w:rsidRPr="00EC5031" w:rsidRDefault="008E4BC3" w:rsidP="00C324B9">
                  <w:pPr>
                    <w:autoSpaceDE w:val="0"/>
                    <w:autoSpaceDN w:val="0"/>
                    <w:adjustRightInd w:val="0"/>
                    <w:spacing w:after="0" w:line="240" w:lineRule="auto"/>
                    <w:rPr>
                      <w:rFonts w:asciiTheme="majorHAnsi" w:eastAsia="Times New Roman" w:hAnsiTheme="majorHAnsi" w:cs="Times New Roman"/>
                      <w:color w:val="000000"/>
                      <w:sz w:val="24"/>
                      <w:szCs w:val="24"/>
                      <w:lang w:eastAsia="cs-CZ"/>
                    </w:rPr>
                  </w:pPr>
                </w:p>
                <w:p w14:paraId="2F3E3B76" w14:textId="77777777" w:rsidR="00414DA4" w:rsidRPr="00EC5031" w:rsidRDefault="008E4BC3" w:rsidP="008E4BC3">
                  <w:pPr>
                    <w:rPr>
                      <w:rFonts w:asciiTheme="majorHAnsi" w:hAnsiTheme="majorHAnsi"/>
                      <w:b/>
                      <w:sz w:val="24"/>
                      <w:szCs w:val="24"/>
                    </w:rPr>
                  </w:pPr>
                  <w:r w:rsidRPr="00EC5031">
                    <w:rPr>
                      <w:rFonts w:asciiTheme="majorHAnsi" w:hAnsiTheme="majorHAnsi"/>
                      <w:b/>
                      <w:sz w:val="24"/>
                      <w:szCs w:val="24"/>
                    </w:rPr>
                    <w:t>Návrh skóre</w:t>
                  </w:r>
                  <w:r w:rsidR="00AD1993" w:rsidRPr="00EC5031">
                    <w:rPr>
                      <w:rFonts w:asciiTheme="majorHAnsi" w:hAnsiTheme="majorHAnsi"/>
                      <w:b/>
                      <w:sz w:val="24"/>
                      <w:szCs w:val="24"/>
                    </w:rPr>
                    <w:t xml:space="preserve"> (</w:t>
                  </w:r>
                  <w:r w:rsidR="00CF101C" w:rsidRPr="00EC5031">
                    <w:rPr>
                      <w:rFonts w:asciiTheme="majorHAnsi" w:hAnsiTheme="majorHAnsi"/>
                      <w:b/>
                      <w:sz w:val="24"/>
                      <w:szCs w:val="24"/>
                    </w:rPr>
                    <w:t>mírně</w:t>
                  </w:r>
                  <w:r w:rsidR="00AD1993" w:rsidRPr="00EC5031">
                    <w:rPr>
                      <w:rFonts w:asciiTheme="majorHAnsi" w:hAnsiTheme="majorHAnsi"/>
                      <w:b/>
                      <w:sz w:val="24"/>
                      <w:szCs w:val="24"/>
                    </w:rPr>
                    <w:t xml:space="preserve"> se liší od EVIDEM)</w:t>
                  </w:r>
                  <w:r w:rsidRPr="00EC5031">
                    <w:rPr>
                      <w:rFonts w:asciiTheme="majorHAnsi" w:hAnsiTheme="majorHAnsi"/>
                      <w:b/>
                      <w:sz w:val="24"/>
                      <w:szCs w:val="24"/>
                    </w:rPr>
                    <w:t>:</w:t>
                  </w:r>
                </w:p>
                <w:p w14:paraId="017BDA90" w14:textId="77777777" w:rsidR="00414DA4" w:rsidRPr="00EC5031" w:rsidRDefault="008E4BC3" w:rsidP="00414DA4">
                  <w:pPr>
                    <w:spacing w:after="0" w:line="240" w:lineRule="auto"/>
                    <w:rPr>
                      <w:rFonts w:asciiTheme="majorHAnsi" w:eastAsia="Times New Roman" w:hAnsiTheme="majorHAnsi" w:cs="Times New Roman"/>
                      <w:iCs/>
                      <w:color w:val="000000"/>
                      <w:sz w:val="24"/>
                      <w:szCs w:val="24"/>
                      <w:lang w:eastAsia="cs-CZ"/>
                    </w:rPr>
                  </w:pPr>
                  <w:r w:rsidRPr="00EC5031">
                    <w:rPr>
                      <w:rFonts w:asciiTheme="majorHAnsi" w:eastAsia="Times New Roman" w:hAnsiTheme="majorHAnsi" w:cs="Times New Roman"/>
                      <w:i/>
                      <w:iCs/>
                      <w:color w:val="000000"/>
                      <w:sz w:val="24"/>
                      <w:szCs w:val="24"/>
                      <w:lang w:eastAsia="cs-CZ"/>
                    </w:rPr>
                    <w:t>0: Významně navyšující rozpočet</w:t>
                  </w:r>
                  <w:r w:rsidR="00414DA4" w:rsidRPr="00EC5031">
                    <w:rPr>
                      <w:rFonts w:asciiTheme="majorHAnsi" w:eastAsia="Times New Roman" w:hAnsiTheme="majorHAnsi" w:cs="Times New Roman"/>
                      <w:i/>
                      <w:iCs/>
                      <w:color w:val="000000"/>
                      <w:sz w:val="24"/>
                      <w:szCs w:val="24"/>
                      <w:lang w:eastAsia="cs-CZ"/>
                    </w:rPr>
                    <w:t>,</w:t>
                  </w:r>
                  <w:r w:rsidRPr="00EC5031">
                    <w:rPr>
                      <w:rFonts w:asciiTheme="majorHAnsi" w:eastAsia="Times New Roman" w:hAnsiTheme="majorHAnsi" w:cs="Times New Roman"/>
                      <w:i/>
                      <w:iCs/>
                      <w:color w:val="000000"/>
                      <w:sz w:val="24"/>
                      <w:szCs w:val="24"/>
                      <w:lang w:eastAsia="cs-CZ"/>
                    </w:rPr>
                    <w:t xml:space="preserve">  </w:t>
                  </w:r>
                  <w:r w:rsidRPr="00EC5031">
                    <w:rPr>
                      <w:rFonts w:asciiTheme="majorHAnsi" w:eastAsia="Times New Roman" w:hAnsiTheme="majorHAnsi" w:cs="Times New Roman"/>
                      <w:iCs/>
                      <w:color w:val="000000"/>
                      <w:sz w:val="24"/>
                      <w:szCs w:val="24"/>
                      <w:lang w:eastAsia="cs-CZ"/>
                    </w:rPr>
                    <w:t xml:space="preserve">např. BI/rok  &gt; </w:t>
                  </w:r>
                  <w:r w:rsidR="00913A68" w:rsidRPr="00EC5031">
                    <w:rPr>
                      <w:rFonts w:asciiTheme="majorHAnsi" w:eastAsia="Times New Roman" w:hAnsiTheme="majorHAnsi" w:cs="Times New Roman"/>
                      <w:iCs/>
                      <w:color w:val="000000"/>
                      <w:sz w:val="24"/>
                      <w:szCs w:val="24"/>
                      <w:lang w:eastAsia="cs-CZ"/>
                    </w:rPr>
                    <w:t>10</w:t>
                  </w:r>
                  <w:r w:rsidRPr="00EC5031">
                    <w:rPr>
                      <w:rFonts w:asciiTheme="majorHAnsi" w:eastAsia="Times New Roman" w:hAnsiTheme="majorHAnsi" w:cs="Times New Roman"/>
                      <w:iCs/>
                      <w:color w:val="000000"/>
                      <w:sz w:val="24"/>
                      <w:szCs w:val="24"/>
                      <w:lang w:eastAsia="cs-CZ"/>
                    </w:rPr>
                    <w:t>0 mil. Kč</w:t>
                  </w:r>
                </w:p>
                <w:p w14:paraId="077C7EBD" w14:textId="77777777" w:rsidR="008E4BC3" w:rsidRPr="00EC5031" w:rsidRDefault="008E4BC3" w:rsidP="00414DA4">
                  <w:pPr>
                    <w:spacing w:after="0" w:line="240" w:lineRule="auto"/>
                    <w:rPr>
                      <w:rFonts w:asciiTheme="majorHAnsi" w:eastAsia="Times New Roman" w:hAnsiTheme="majorHAnsi" w:cs="Times New Roman"/>
                      <w:iCs/>
                      <w:color w:val="000000"/>
                      <w:sz w:val="24"/>
                      <w:szCs w:val="24"/>
                      <w:lang w:eastAsia="cs-CZ"/>
                    </w:rPr>
                  </w:pPr>
                  <w:r w:rsidRPr="00EC5031">
                    <w:rPr>
                      <w:rFonts w:asciiTheme="majorHAnsi" w:eastAsia="Times New Roman" w:hAnsiTheme="majorHAnsi" w:cs="Times New Roman"/>
                      <w:i/>
                      <w:iCs/>
                      <w:color w:val="000000"/>
                      <w:sz w:val="24"/>
                      <w:szCs w:val="24"/>
                      <w:lang w:eastAsia="cs-CZ"/>
                    </w:rPr>
                    <w:t>1: Navyšující rozpočet</w:t>
                  </w:r>
                  <w:r w:rsidR="00414DA4" w:rsidRPr="00EC5031">
                    <w:rPr>
                      <w:rFonts w:asciiTheme="majorHAnsi" w:eastAsia="Times New Roman" w:hAnsiTheme="majorHAnsi" w:cs="Times New Roman"/>
                      <w:i/>
                      <w:iCs/>
                      <w:color w:val="000000"/>
                      <w:sz w:val="24"/>
                      <w:szCs w:val="24"/>
                      <w:lang w:eastAsia="cs-CZ"/>
                    </w:rPr>
                    <w:t>,</w:t>
                  </w:r>
                  <w:r w:rsidRPr="00EC5031">
                    <w:rPr>
                      <w:rFonts w:asciiTheme="majorHAnsi" w:eastAsia="Times New Roman" w:hAnsiTheme="majorHAnsi" w:cs="Times New Roman"/>
                      <w:i/>
                      <w:iCs/>
                      <w:color w:val="000000"/>
                      <w:sz w:val="24"/>
                      <w:szCs w:val="24"/>
                      <w:lang w:eastAsia="cs-CZ"/>
                    </w:rPr>
                    <w:t xml:space="preserve">  </w:t>
                  </w:r>
                  <w:r w:rsidRPr="00EC5031">
                    <w:rPr>
                      <w:rFonts w:asciiTheme="majorHAnsi" w:eastAsia="Times New Roman" w:hAnsiTheme="majorHAnsi" w:cs="Times New Roman"/>
                      <w:iCs/>
                      <w:color w:val="000000"/>
                      <w:sz w:val="24"/>
                      <w:szCs w:val="24"/>
                      <w:lang w:eastAsia="cs-CZ"/>
                    </w:rPr>
                    <w:t xml:space="preserve">např. </w:t>
                  </w:r>
                  <w:r w:rsidR="00913A68" w:rsidRPr="00EC5031">
                    <w:rPr>
                      <w:rFonts w:asciiTheme="majorHAnsi" w:eastAsia="Times New Roman" w:hAnsiTheme="majorHAnsi" w:cs="Times New Roman"/>
                      <w:iCs/>
                      <w:color w:val="000000"/>
                      <w:sz w:val="24"/>
                      <w:szCs w:val="24"/>
                      <w:lang w:eastAsia="cs-CZ"/>
                    </w:rPr>
                    <w:t>3</w:t>
                  </w:r>
                  <w:r w:rsidRPr="00EC5031">
                    <w:rPr>
                      <w:rFonts w:asciiTheme="majorHAnsi" w:eastAsia="Times New Roman" w:hAnsiTheme="majorHAnsi" w:cs="Times New Roman"/>
                      <w:iCs/>
                      <w:color w:val="000000"/>
                      <w:sz w:val="24"/>
                      <w:szCs w:val="24"/>
                      <w:lang w:eastAsia="cs-CZ"/>
                    </w:rPr>
                    <w:t xml:space="preserve">0 mil. Kč &lt; BI/rok </w:t>
                  </w:r>
                  <w:r w:rsidR="00E54B8B" w:rsidRPr="00EC5031">
                    <w:rPr>
                      <w:rFonts w:asciiTheme="majorHAnsi" w:eastAsia="Times New Roman" w:hAnsiTheme="majorHAnsi" w:cs="Times New Roman"/>
                      <w:iCs/>
                      <w:color w:val="000000"/>
                      <w:sz w:val="24"/>
                      <w:szCs w:val="24"/>
                      <w:lang w:eastAsia="cs-CZ"/>
                    </w:rPr>
                    <w:t>&lt;</w:t>
                  </w:r>
                  <w:r w:rsidRPr="00EC5031">
                    <w:rPr>
                      <w:rFonts w:asciiTheme="majorHAnsi" w:eastAsia="Times New Roman" w:hAnsiTheme="majorHAnsi" w:cs="Times New Roman"/>
                      <w:iCs/>
                      <w:color w:val="000000"/>
                      <w:sz w:val="24"/>
                      <w:szCs w:val="24"/>
                      <w:lang w:eastAsia="cs-CZ"/>
                    </w:rPr>
                    <w:t xml:space="preserve"> </w:t>
                  </w:r>
                  <w:r w:rsidR="00913A68" w:rsidRPr="00EC5031">
                    <w:rPr>
                      <w:rFonts w:asciiTheme="majorHAnsi" w:eastAsia="Times New Roman" w:hAnsiTheme="majorHAnsi" w:cs="Times New Roman"/>
                      <w:iCs/>
                      <w:color w:val="000000"/>
                      <w:sz w:val="24"/>
                      <w:szCs w:val="24"/>
                      <w:lang w:eastAsia="cs-CZ"/>
                    </w:rPr>
                    <w:t>10</w:t>
                  </w:r>
                  <w:r w:rsidRPr="00EC5031">
                    <w:rPr>
                      <w:rFonts w:asciiTheme="majorHAnsi" w:eastAsia="Times New Roman" w:hAnsiTheme="majorHAnsi" w:cs="Times New Roman"/>
                      <w:iCs/>
                      <w:color w:val="000000"/>
                      <w:sz w:val="24"/>
                      <w:szCs w:val="24"/>
                      <w:lang w:eastAsia="cs-CZ"/>
                    </w:rPr>
                    <w:t>0 mil. Kč</w:t>
                  </w:r>
                </w:p>
                <w:p w14:paraId="4E16C385" w14:textId="77777777" w:rsidR="008E4BC3" w:rsidRPr="00EC5031" w:rsidRDefault="008E4BC3" w:rsidP="00414DA4">
                  <w:pPr>
                    <w:spacing w:after="0" w:line="240" w:lineRule="auto"/>
                    <w:rPr>
                      <w:rFonts w:asciiTheme="majorHAnsi" w:eastAsia="Times New Roman" w:hAnsiTheme="majorHAnsi" w:cs="Times New Roman"/>
                      <w:iCs/>
                      <w:color w:val="000000"/>
                      <w:sz w:val="24"/>
                      <w:szCs w:val="24"/>
                      <w:lang w:eastAsia="cs-CZ"/>
                    </w:rPr>
                  </w:pPr>
                  <w:r w:rsidRPr="00EC5031">
                    <w:rPr>
                      <w:rFonts w:asciiTheme="majorHAnsi" w:eastAsia="Times New Roman" w:hAnsiTheme="majorHAnsi" w:cs="Times New Roman"/>
                      <w:i/>
                      <w:iCs/>
                      <w:color w:val="000000"/>
                      <w:sz w:val="24"/>
                      <w:szCs w:val="24"/>
                      <w:lang w:eastAsia="cs-CZ"/>
                    </w:rPr>
                    <w:t>2: Neutrální nebo nevýznamný dopad</w:t>
                  </w:r>
                  <w:r w:rsidR="00414DA4" w:rsidRPr="00EC5031">
                    <w:rPr>
                      <w:rFonts w:asciiTheme="majorHAnsi" w:eastAsia="Times New Roman" w:hAnsiTheme="majorHAnsi" w:cs="Times New Roman"/>
                      <w:i/>
                      <w:iCs/>
                      <w:color w:val="000000"/>
                      <w:sz w:val="24"/>
                      <w:szCs w:val="24"/>
                      <w:lang w:eastAsia="cs-CZ"/>
                    </w:rPr>
                    <w:t xml:space="preserve">, </w:t>
                  </w:r>
                  <w:r w:rsidR="00414DA4" w:rsidRPr="00EC5031">
                    <w:rPr>
                      <w:rFonts w:asciiTheme="majorHAnsi" w:eastAsia="Times New Roman" w:hAnsiTheme="majorHAnsi" w:cs="Times New Roman"/>
                      <w:iCs/>
                      <w:color w:val="000000"/>
                      <w:sz w:val="24"/>
                      <w:szCs w:val="24"/>
                      <w:lang w:eastAsia="cs-CZ"/>
                    </w:rPr>
                    <w:t>např.</w:t>
                  </w:r>
                  <w:r w:rsidRPr="00EC5031">
                    <w:rPr>
                      <w:rFonts w:asciiTheme="majorHAnsi" w:eastAsia="Times New Roman" w:hAnsiTheme="majorHAnsi" w:cs="Times New Roman"/>
                      <w:iCs/>
                      <w:color w:val="000000"/>
                      <w:sz w:val="24"/>
                      <w:szCs w:val="24"/>
                      <w:lang w:eastAsia="cs-CZ"/>
                    </w:rPr>
                    <w:t xml:space="preserve"> BI/rok  </w:t>
                  </w:r>
                  <w:r w:rsidR="00E54B8B" w:rsidRPr="00EC5031">
                    <w:rPr>
                      <w:rFonts w:asciiTheme="majorHAnsi" w:eastAsia="Times New Roman" w:hAnsiTheme="majorHAnsi" w:cs="Times New Roman"/>
                      <w:iCs/>
                      <w:color w:val="000000"/>
                      <w:sz w:val="24"/>
                      <w:szCs w:val="24"/>
                      <w:lang w:eastAsia="cs-CZ"/>
                    </w:rPr>
                    <w:t>&lt;</w:t>
                  </w:r>
                  <w:r w:rsidRPr="00EC5031">
                    <w:rPr>
                      <w:rFonts w:asciiTheme="majorHAnsi" w:eastAsia="Times New Roman" w:hAnsiTheme="majorHAnsi" w:cs="Times New Roman"/>
                      <w:iCs/>
                      <w:color w:val="000000"/>
                      <w:sz w:val="24"/>
                      <w:szCs w:val="24"/>
                      <w:lang w:eastAsia="cs-CZ"/>
                    </w:rPr>
                    <w:t xml:space="preserve"> </w:t>
                  </w:r>
                  <w:r w:rsidR="00913A68" w:rsidRPr="00EC5031">
                    <w:rPr>
                      <w:rFonts w:asciiTheme="majorHAnsi" w:eastAsia="Times New Roman" w:hAnsiTheme="majorHAnsi" w:cs="Times New Roman"/>
                      <w:iCs/>
                      <w:color w:val="000000"/>
                      <w:sz w:val="24"/>
                      <w:szCs w:val="24"/>
                      <w:lang w:eastAsia="cs-CZ"/>
                    </w:rPr>
                    <w:t>3</w:t>
                  </w:r>
                  <w:r w:rsidRPr="00EC5031">
                    <w:rPr>
                      <w:rFonts w:asciiTheme="majorHAnsi" w:eastAsia="Times New Roman" w:hAnsiTheme="majorHAnsi" w:cs="Times New Roman"/>
                      <w:iCs/>
                      <w:color w:val="000000"/>
                      <w:sz w:val="24"/>
                      <w:szCs w:val="24"/>
                      <w:lang w:eastAsia="cs-CZ"/>
                    </w:rPr>
                    <w:t>0 mil. Kč</w:t>
                  </w:r>
                </w:p>
                <w:p w14:paraId="5A57A6C2" w14:textId="77777777" w:rsidR="008E4BC3" w:rsidRPr="00EC5031" w:rsidRDefault="008E4BC3" w:rsidP="00414DA4">
                  <w:pPr>
                    <w:spacing w:after="0" w:line="240" w:lineRule="auto"/>
                    <w:rPr>
                      <w:rFonts w:asciiTheme="majorHAnsi" w:eastAsia="Times New Roman" w:hAnsiTheme="majorHAnsi" w:cs="Times New Roman"/>
                      <w:iCs/>
                      <w:color w:val="000000"/>
                      <w:sz w:val="24"/>
                      <w:szCs w:val="24"/>
                      <w:lang w:eastAsia="cs-CZ"/>
                    </w:rPr>
                  </w:pPr>
                  <w:r w:rsidRPr="00EC5031">
                    <w:rPr>
                      <w:rFonts w:asciiTheme="majorHAnsi" w:eastAsia="Times New Roman" w:hAnsiTheme="majorHAnsi" w:cs="Times New Roman"/>
                      <w:i/>
                      <w:iCs/>
                      <w:color w:val="000000"/>
                      <w:sz w:val="24"/>
                      <w:szCs w:val="24"/>
                      <w:lang w:eastAsia="cs-CZ"/>
                    </w:rPr>
                    <w:t>3: Náklady šetřící</w:t>
                  </w:r>
                  <w:r w:rsidR="00414DA4" w:rsidRPr="00EC5031">
                    <w:rPr>
                      <w:rFonts w:asciiTheme="majorHAnsi" w:eastAsia="Times New Roman" w:hAnsiTheme="majorHAnsi" w:cs="Times New Roman"/>
                      <w:i/>
                      <w:iCs/>
                      <w:color w:val="000000"/>
                      <w:sz w:val="24"/>
                      <w:szCs w:val="24"/>
                      <w:lang w:eastAsia="cs-CZ"/>
                    </w:rPr>
                    <w:t xml:space="preserve">, </w:t>
                  </w:r>
                  <w:r w:rsidRPr="00EC5031">
                    <w:rPr>
                      <w:rFonts w:asciiTheme="majorHAnsi" w:eastAsia="Times New Roman" w:hAnsiTheme="majorHAnsi" w:cs="Times New Roman"/>
                      <w:i/>
                      <w:iCs/>
                      <w:color w:val="000000"/>
                      <w:sz w:val="24"/>
                      <w:szCs w:val="24"/>
                      <w:lang w:eastAsia="cs-CZ"/>
                    </w:rPr>
                    <w:t xml:space="preserve"> </w:t>
                  </w:r>
                  <w:r w:rsidRPr="00EC5031">
                    <w:rPr>
                      <w:rFonts w:asciiTheme="majorHAnsi" w:eastAsia="Times New Roman" w:hAnsiTheme="majorHAnsi" w:cs="Times New Roman"/>
                      <w:iCs/>
                      <w:color w:val="000000"/>
                      <w:sz w:val="24"/>
                      <w:szCs w:val="24"/>
                      <w:lang w:eastAsia="cs-CZ"/>
                    </w:rPr>
                    <w:t>BI/rok &lt; 0</w:t>
                  </w:r>
                  <w:r w:rsidR="00E54B8B" w:rsidRPr="00EC5031">
                    <w:rPr>
                      <w:rFonts w:asciiTheme="majorHAnsi" w:eastAsia="Times New Roman" w:hAnsiTheme="majorHAnsi" w:cs="Times New Roman"/>
                      <w:iCs/>
                      <w:color w:val="000000"/>
                      <w:sz w:val="24"/>
                      <w:szCs w:val="24"/>
                      <w:lang w:eastAsia="cs-CZ"/>
                    </w:rPr>
                    <w:t xml:space="preserve"> Kč</w:t>
                  </w:r>
                </w:p>
                <w:p w14:paraId="6FA5561D" w14:textId="77777777" w:rsidR="008E4BC3" w:rsidRPr="00EC5031" w:rsidRDefault="008E4BC3" w:rsidP="00414DA4">
                  <w:pPr>
                    <w:spacing w:after="0" w:line="240" w:lineRule="auto"/>
                    <w:rPr>
                      <w:rFonts w:asciiTheme="majorHAnsi" w:eastAsia="Times New Roman" w:hAnsiTheme="majorHAnsi" w:cs="Times New Roman"/>
                      <w:i/>
                      <w:iCs/>
                      <w:color w:val="000000"/>
                      <w:sz w:val="24"/>
                      <w:szCs w:val="24"/>
                      <w:lang w:eastAsia="cs-CZ"/>
                    </w:rPr>
                  </w:pPr>
                </w:p>
                <w:p w14:paraId="34E5771E" w14:textId="77777777" w:rsidR="00C324B9" w:rsidRPr="00EC5031" w:rsidRDefault="00C324B9" w:rsidP="008E4BC3">
                  <w:pPr>
                    <w:autoSpaceDE w:val="0"/>
                    <w:autoSpaceDN w:val="0"/>
                    <w:adjustRightInd w:val="0"/>
                    <w:spacing w:after="0" w:line="240" w:lineRule="auto"/>
                    <w:rPr>
                      <w:rFonts w:asciiTheme="majorHAnsi" w:eastAsia="Times New Roman" w:hAnsiTheme="majorHAnsi" w:cs="Times New Roman"/>
                      <w:color w:val="000000"/>
                      <w:sz w:val="24"/>
                      <w:szCs w:val="24"/>
                      <w:lang w:eastAsia="cs-CZ"/>
                    </w:rPr>
                  </w:pPr>
                </w:p>
              </w:tc>
              <w:tc>
                <w:tcPr>
                  <w:tcW w:w="4556" w:type="dxa"/>
                  <w:tcBorders>
                    <w:top w:val="nil"/>
                    <w:left w:val="nil"/>
                    <w:bottom w:val="nil"/>
                    <w:right w:val="nil"/>
                  </w:tcBorders>
                  <w:shd w:val="clear" w:color="auto" w:fill="auto"/>
                  <w:hideMark/>
                </w:tcPr>
                <w:p w14:paraId="621798FB" w14:textId="77777777" w:rsidR="0077412A" w:rsidRPr="00EC5031" w:rsidRDefault="0077412A" w:rsidP="0077412A">
                  <w:pPr>
                    <w:spacing w:after="0" w:line="240" w:lineRule="auto"/>
                    <w:rPr>
                      <w:rFonts w:asciiTheme="majorHAnsi" w:eastAsia="Times New Roman" w:hAnsiTheme="majorHAnsi" w:cs="Times New Roman"/>
                      <w:color w:val="000000"/>
                      <w:sz w:val="16"/>
                      <w:szCs w:val="16"/>
                      <w:lang w:eastAsia="cs-CZ"/>
                    </w:rPr>
                  </w:pPr>
                </w:p>
              </w:tc>
            </w:tr>
            <w:tr w:rsidR="0077412A" w:rsidRPr="00EC5031" w14:paraId="101FDAD5" w14:textId="77777777" w:rsidTr="0077412A">
              <w:trPr>
                <w:trHeight w:val="450"/>
              </w:trPr>
              <w:tc>
                <w:tcPr>
                  <w:tcW w:w="5396" w:type="dxa"/>
                  <w:tcBorders>
                    <w:top w:val="nil"/>
                    <w:left w:val="nil"/>
                    <w:bottom w:val="nil"/>
                    <w:right w:val="nil"/>
                  </w:tcBorders>
                  <w:shd w:val="clear" w:color="auto" w:fill="auto"/>
                  <w:hideMark/>
                </w:tcPr>
                <w:p w14:paraId="54AE099D" w14:textId="77777777" w:rsidR="0077412A" w:rsidRPr="00EC5031" w:rsidRDefault="0077412A" w:rsidP="0077412A">
                  <w:pPr>
                    <w:spacing w:after="0" w:line="240" w:lineRule="auto"/>
                    <w:rPr>
                      <w:rFonts w:asciiTheme="majorHAnsi" w:eastAsia="Times New Roman" w:hAnsiTheme="majorHAnsi" w:cs="Times New Roman"/>
                      <w:color w:val="000000"/>
                      <w:sz w:val="16"/>
                      <w:szCs w:val="16"/>
                      <w:lang w:eastAsia="cs-CZ"/>
                    </w:rPr>
                  </w:pPr>
                </w:p>
              </w:tc>
              <w:tc>
                <w:tcPr>
                  <w:tcW w:w="4556" w:type="dxa"/>
                  <w:tcBorders>
                    <w:top w:val="nil"/>
                    <w:left w:val="nil"/>
                    <w:bottom w:val="nil"/>
                    <w:right w:val="nil"/>
                  </w:tcBorders>
                  <w:shd w:val="clear" w:color="auto" w:fill="auto"/>
                  <w:noWrap/>
                  <w:hideMark/>
                </w:tcPr>
                <w:p w14:paraId="33B3B47C" w14:textId="77777777" w:rsidR="0077412A" w:rsidRPr="00EC5031" w:rsidRDefault="0077412A" w:rsidP="0077412A">
                  <w:pPr>
                    <w:spacing w:after="0" w:line="240" w:lineRule="auto"/>
                    <w:rPr>
                      <w:rFonts w:asciiTheme="majorHAnsi" w:eastAsia="Times New Roman" w:hAnsiTheme="majorHAnsi" w:cs="Times New Roman"/>
                      <w:color w:val="000000"/>
                      <w:sz w:val="16"/>
                      <w:szCs w:val="16"/>
                      <w:lang w:eastAsia="cs-CZ"/>
                    </w:rPr>
                  </w:pPr>
                  <w:r w:rsidRPr="00EC5031">
                    <w:rPr>
                      <w:rFonts w:asciiTheme="majorHAnsi" w:eastAsia="Times New Roman" w:hAnsiTheme="majorHAnsi" w:cs="Times New Roman"/>
                      <w:color w:val="000000"/>
                      <w:sz w:val="16"/>
                      <w:szCs w:val="16"/>
                      <w:lang w:eastAsia="cs-CZ"/>
                    </w:rPr>
                    <w:t xml:space="preserve">  </w:t>
                  </w:r>
                </w:p>
              </w:tc>
            </w:tr>
          </w:tbl>
          <w:p w14:paraId="311AD26E" w14:textId="77777777" w:rsidR="00C5543A" w:rsidRPr="00EC5031" w:rsidRDefault="00C5543A" w:rsidP="00C5543A">
            <w:pPr>
              <w:spacing w:after="0" w:line="240" w:lineRule="auto"/>
              <w:rPr>
                <w:rFonts w:asciiTheme="majorHAnsi" w:eastAsia="Times New Roman" w:hAnsiTheme="majorHAnsi" w:cs="Times New Roman"/>
                <w:color w:val="000000"/>
                <w:sz w:val="24"/>
                <w:szCs w:val="24"/>
                <w:lang w:eastAsia="cs-CZ"/>
              </w:rPr>
            </w:pPr>
          </w:p>
        </w:tc>
        <w:tc>
          <w:tcPr>
            <w:tcW w:w="4556" w:type="dxa"/>
            <w:tcBorders>
              <w:top w:val="nil"/>
              <w:left w:val="nil"/>
              <w:bottom w:val="nil"/>
              <w:right w:val="nil"/>
            </w:tcBorders>
            <w:shd w:val="clear" w:color="auto" w:fill="auto"/>
            <w:noWrap/>
            <w:vAlign w:val="bottom"/>
            <w:hideMark/>
          </w:tcPr>
          <w:p w14:paraId="6D079083" w14:textId="77777777" w:rsidR="00C5543A" w:rsidRPr="00EC5031" w:rsidRDefault="00C5543A" w:rsidP="00C5543A">
            <w:pPr>
              <w:spacing w:after="0" w:line="240" w:lineRule="auto"/>
              <w:rPr>
                <w:rFonts w:asciiTheme="majorHAnsi" w:eastAsia="Times New Roman" w:hAnsiTheme="majorHAnsi" w:cs="Times New Roman"/>
                <w:color w:val="000000"/>
                <w:sz w:val="24"/>
                <w:szCs w:val="24"/>
                <w:lang w:eastAsia="cs-CZ"/>
              </w:rPr>
            </w:pPr>
          </w:p>
        </w:tc>
      </w:tr>
      <w:tr w:rsidR="00C5543A" w:rsidRPr="00EC5031" w14:paraId="615A74B7" w14:textId="77777777" w:rsidTr="00C5543A">
        <w:trPr>
          <w:trHeight w:val="450"/>
        </w:trPr>
        <w:tc>
          <w:tcPr>
            <w:tcW w:w="5396" w:type="dxa"/>
            <w:tcBorders>
              <w:top w:val="nil"/>
              <w:left w:val="nil"/>
              <w:bottom w:val="nil"/>
              <w:right w:val="nil"/>
            </w:tcBorders>
            <w:shd w:val="clear" w:color="auto" w:fill="auto"/>
            <w:noWrap/>
            <w:vAlign w:val="bottom"/>
            <w:hideMark/>
          </w:tcPr>
          <w:p w14:paraId="6CA1FC48" w14:textId="77777777" w:rsidR="00C5543A" w:rsidRPr="00EC5031" w:rsidRDefault="00C5543A" w:rsidP="00C5543A">
            <w:pPr>
              <w:spacing w:after="0" w:line="240" w:lineRule="auto"/>
              <w:rPr>
                <w:rFonts w:asciiTheme="majorHAnsi" w:eastAsia="Times New Roman" w:hAnsiTheme="majorHAnsi" w:cs="Times New Roman"/>
                <w:color w:val="000000"/>
                <w:sz w:val="24"/>
                <w:szCs w:val="24"/>
                <w:lang w:eastAsia="cs-CZ"/>
              </w:rPr>
            </w:pPr>
          </w:p>
        </w:tc>
        <w:tc>
          <w:tcPr>
            <w:tcW w:w="4556" w:type="dxa"/>
            <w:tcBorders>
              <w:top w:val="nil"/>
              <w:left w:val="nil"/>
              <w:bottom w:val="nil"/>
              <w:right w:val="nil"/>
            </w:tcBorders>
            <w:shd w:val="clear" w:color="auto" w:fill="auto"/>
            <w:vAlign w:val="bottom"/>
            <w:hideMark/>
          </w:tcPr>
          <w:p w14:paraId="1D5858FC" w14:textId="77777777" w:rsidR="00C5543A" w:rsidRPr="00EC5031" w:rsidRDefault="00C5543A" w:rsidP="00C5543A">
            <w:pPr>
              <w:spacing w:after="0" w:line="240" w:lineRule="auto"/>
              <w:rPr>
                <w:rFonts w:asciiTheme="majorHAnsi" w:eastAsia="Times New Roman" w:hAnsiTheme="majorHAnsi" w:cs="Times New Roman"/>
                <w:color w:val="000000"/>
                <w:sz w:val="24"/>
                <w:szCs w:val="24"/>
                <w:lang w:eastAsia="cs-CZ"/>
              </w:rPr>
            </w:pPr>
          </w:p>
        </w:tc>
      </w:tr>
      <w:tr w:rsidR="00C5543A" w:rsidRPr="00EC5031" w14:paraId="2847E621" w14:textId="77777777" w:rsidTr="00C5543A">
        <w:trPr>
          <w:trHeight w:val="450"/>
        </w:trPr>
        <w:tc>
          <w:tcPr>
            <w:tcW w:w="5396" w:type="dxa"/>
            <w:tcBorders>
              <w:top w:val="nil"/>
              <w:left w:val="nil"/>
              <w:bottom w:val="nil"/>
              <w:right w:val="nil"/>
            </w:tcBorders>
            <w:shd w:val="clear" w:color="auto" w:fill="auto"/>
            <w:vAlign w:val="bottom"/>
            <w:hideMark/>
          </w:tcPr>
          <w:p w14:paraId="6D43F0C7" w14:textId="77777777" w:rsidR="00C5543A" w:rsidRDefault="00C5543A" w:rsidP="00C5543A">
            <w:pPr>
              <w:spacing w:after="0" w:line="240" w:lineRule="auto"/>
              <w:rPr>
                <w:rFonts w:asciiTheme="majorHAnsi" w:eastAsia="Times New Roman" w:hAnsiTheme="majorHAnsi" w:cs="Times New Roman"/>
                <w:color w:val="000000"/>
                <w:sz w:val="24"/>
                <w:szCs w:val="24"/>
                <w:lang w:eastAsia="cs-CZ"/>
              </w:rPr>
            </w:pPr>
          </w:p>
          <w:p w14:paraId="6278F5C1" w14:textId="77777777" w:rsidR="00400C00" w:rsidRDefault="00400C00" w:rsidP="00C5543A">
            <w:pPr>
              <w:spacing w:after="0" w:line="240" w:lineRule="auto"/>
              <w:rPr>
                <w:rFonts w:asciiTheme="majorHAnsi" w:eastAsia="Times New Roman" w:hAnsiTheme="majorHAnsi" w:cs="Times New Roman"/>
                <w:color w:val="000000"/>
                <w:sz w:val="24"/>
                <w:szCs w:val="24"/>
                <w:lang w:eastAsia="cs-CZ"/>
              </w:rPr>
            </w:pPr>
          </w:p>
          <w:p w14:paraId="663C8105" w14:textId="77777777" w:rsidR="00400C00" w:rsidRPr="00EC5031" w:rsidRDefault="00400C00" w:rsidP="00C5543A">
            <w:pPr>
              <w:spacing w:after="0" w:line="240" w:lineRule="auto"/>
              <w:rPr>
                <w:rFonts w:asciiTheme="majorHAnsi" w:eastAsia="Times New Roman" w:hAnsiTheme="majorHAnsi" w:cs="Times New Roman"/>
                <w:color w:val="000000"/>
                <w:sz w:val="24"/>
                <w:szCs w:val="24"/>
                <w:lang w:eastAsia="cs-CZ"/>
              </w:rPr>
            </w:pPr>
          </w:p>
        </w:tc>
        <w:tc>
          <w:tcPr>
            <w:tcW w:w="4556" w:type="dxa"/>
            <w:tcBorders>
              <w:top w:val="nil"/>
              <w:left w:val="nil"/>
              <w:bottom w:val="nil"/>
              <w:right w:val="nil"/>
            </w:tcBorders>
            <w:shd w:val="clear" w:color="auto" w:fill="auto"/>
            <w:noWrap/>
            <w:vAlign w:val="bottom"/>
            <w:hideMark/>
          </w:tcPr>
          <w:p w14:paraId="3A2E9647" w14:textId="77777777" w:rsidR="00C5543A" w:rsidRPr="00EC5031" w:rsidRDefault="00C5543A" w:rsidP="00C5543A">
            <w:pPr>
              <w:spacing w:after="0" w:line="240" w:lineRule="auto"/>
              <w:rPr>
                <w:rFonts w:asciiTheme="majorHAnsi" w:eastAsia="Times New Roman" w:hAnsiTheme="majorHAnsi" w:cs="Times New Roman"/>
                <w:color w:val="000000"/>
                <w:sz w:val="24"/>
                <w:szCs w:val="24"/>
                <w:lang w:eastAsia="cs-CZ"/>
              </w:rPr>
            </w:pPr>
          </w:p>
        </w:tc>
      </w:tr>
    </w:tbl>
    <w:p w14:paraId="69544CA3" w14:textId="77777777" w:rsidR="00ED496E" w:rsidRPr="00EC5031" w:rsidRDefault="00E54B8B" w:rsidP="00FC6DBE">
      <w:pPr>
        <w:pStyle w:val="ListParagraph"/>
        <w:numPr>
          <w:ilvl w:val="0"/>
          <w:numId w:val="4"/>
        </w:numPr>
        <w:rPr>
          <w:rFonts w:asciiTheme="majorHAnsi" w:eastAsia="Times New Roman" w:hAnsiTheme="majorHAnsi" w:cs="Times New Roman"/>
          <w:b/>
          <w:color w:val="000000"/>
          <w:sz w:val="24"/>
          <w:szCs w:val="24"/>
          <w:lang w:eastAsia="cs-CZ"/>
        </w:rPr>
      </w:pPr>
      <w:r w:rsidRPr="00EC5031">
        <w:rPr>
          <w:rFonts w:asciiTheme="majorHAnsi" w:eastAsia="Times New Roman" w:hAnsiTheme="majorHAnsi" w:cs="Times New Roman"/>
          <w:b/>
          <w:color w:val="000000"/>
          <w:sz w:val="24"/>
          <w:szCs w:val="24"/>
          <w:lang w:eastAsia="cs-CZ"/>
        </w:rPr>
        <w:lastRenderedPageBreak/>
        <w:t>Nákladová efektivita:</w:t>
      </w:r>
    </w:p>
    <w:p w14:paraId="620D0272" w14:textId="77777777" w:rsidR="003D7B90" w:rsidRPr="00EC5031" w:rsidRDefault="003D7B90" w:rsidP="00B977C0">
      <w:pPr>
        <w:jc w:val="both"/>
        <w:rPr>
          <w:rFonts w:asciiTheme="majorHAnsi" w:eastAsia="Times New Roman" w:hAnsiTheme="majorHAnsi" w:cs="Times New Roman"/>
          <w:color w:val="000000"/>
          <w:sz w:val="24"/>
          <w:szCs w:val="24"/>
          <w:lang w:eastAsia="cs-CZ"/>
        </w:rPr>
      </w:pPr>
      <w:r w:rsidRPr="00EC5031">
        <w:rPr>
          <w:rFonts w:asciiTheme="majorHAnsi" w:eastAsia="Times New Roman" w:hAnsiTheme="majorHAnsi" w:cs="Times New Roman"/>
          <w:color w:val="000000"/>
          <w:sz w:val="24"/>
          <w:szCs w:val="24"/>
          <w:lang w:eastAsia="cs-CZ"/>
        </w:rPr>
        <w:t>Nákladová efektivit</w:t>
      </w:r>
      <w:r w:rsidR="00FC6DBE" w:rsidRPr="00EC5031">
        <w:rPr>
          <w:rFonts w:asciiTheme="majorHAnsi" w:eastAsia="Times New Roman" w:hAnsiTheme="majorHAnsi" w:cs="Times New Roman"/>
          <w:color w:val="000000"/>
          <w:sz w:val="24"/>
          <w:szCs w:val="24"/>
          <w:lang w:eastAsia="cs-CZ"/>
        </w:rPr>
        <w:t xml:space="preserve">a je parametr specifický tím, že </w:t>
      </w:r>
      <w:r w:rsidRPr="00EC5031">
        <w:rPr>
          <w:rFonts w:asciiTheme="majorHAnsi" w:eastAsia="Times New Roman" w:hAnsiTheme="majorHAnsi" w:cs="Times New Roman"/>
          <w:color w:val="000000"/>
          <w:sz w:val="24"/>
          <w:szCs w:val="24"/>
          <w:lang w:eastAsia="cs-CZ"/>
        </w:rPr>
        <w:t xml:space="preserve">často pracuje s velkou mírou nejistoty. Abychom se vyhnuli hodnocení </w:t>
      </w:r>
      <w:r w:rsidR="00CF101C" w:rsidRPr="00EC5031">
        <w:rPr>
          <w:rFonts w:asciiTheme="majorHAnsi" w:eastAsia="Times New Roman" w:hAnsiTheme="majorHAnsi" w:cs="Times New Roman"/>
          <w:color w:val="000000"/>
          <w:sz w:val="24"/>
          <w:szCs w:val="24"/>
          <w:lang w:eastAsia="cs-CZ"/>
        </w:rPr>
        <w:t xml:space="preserve">založeném </w:t>
      </w:r>
      <w:r w:rsidRPr="00EC5031">
        <w:rPr>
          <w:rFonts w:asciiTheme="majorHAnsi" w:eastAsia="Times New Roman" w:hAnsiTheme="majorHAnsi" w:cs="Times New Roman"/>
          <w:color w:val="000000"/>
          <w:sz w:val="24"/>
          <w:szCs w:val="24"/>
          <w:lang w:eastAsia="cs-CZ"/>
        </w:rPr>
        <w:t xml:space="preserve">pouze </w:t>
      </w:r>
      <w:r w:rsidR="00CF101C" w:rsidRPr="00EC5031">
        <w:rPr>
          <w:rFonts w:asciiTheme="majorHAnsi" w:eastAsia="Times New Roman" w:hAnsiTheme="majorHAnsi" w:cs="Times New Roman"/>
          <w:color w:val="000000"/>
          <w:sz w:val="24"/>
          <w:szCs w:val="24"/>
          <w:lang w:eastAsia="cs-CZ"/>
        </w:rPr>
        <w:t>na deterministické analýze</w:t>
      </w:r>
      <w:r w:rsidRPr="00EC5031">
        <w:rPr>
          <w:rFonts w:asciiTheme="majorHAnsi" w:eastAsia="Times New Roman" w:hAnsiTheme="majorHAnsi" w:cs="Times New Roman"/>
          <w:color w:val="000000"/>
          <w:sz w:val="24"/>
          <w:szCs w:val="24"/>
          <w:lang w:eastAsia="cs-CZ"/>
        </w:rPr>
        <w:t xml:space="preserve"> (base case) navrhujeme skórování odlišné od EVIDEM, které zahrnuje </w:t>
      </w:r>
      <w:r w:rsidR="00FC6DBE" w:rsidRPr="00EC5031">
        <w:rPr>
          <w:rFonts w:asciiTheme="majorHAnsi" w:eastAsia="Times New Roman" w:hAnsiTheme="majorHAnsi" w:cs="Times New Roman"/>
          <w:color w:val="000000"/>
          <w:sz w:val="24"/>
          <w:szCs w:val="24"/>
          <w:lang w:eastAsia="cs-CZ"/>
        </w:rPr>
        <w:t xml:space="preserve">jak </w:t>
      </w:r>
      <w:r w:rsidR="00F2206A" w:rsidRPr="00EC5031">
        <w:rPr>
          <w:rFonts w:asciiTheme="majorHAnsi" w:eastAsia="Times New Roman" w:hAnsiTheme="majorHAnsi" w:cs="Times New Roman"/>
          <w:color w:val="000000"/>
          <w:sz w:val="24"/>
          <w:szCs w:val="24"/>
          <w:lang w:eastAsia="cs-CZ"/>
        </w:rPr>
        <w:t>výsl</w:t>
      </w:r>
      <w:r w:rsidR="00FC6DBE" w:rsidRPr="00EC5031">
        <w:rPr>
          <w:rFonts w:asciiTheme="majorHAnsi" w:eastAsia="Times New Roman" w:hAnsiTheme="majorHAnsi" w:cs="Times New Roman"/>
          <w:color w:val="000000"/>
          <w:sz w:val="24"/>
          <w:szCs w:val="24"/>
          <w:lang w:eastAsia="cs-CZ"/>
        </w:rPr>
        <w:t>edek nákladové efektivity</w:t>
      </w:r>
      <w:r w:rsidR="002968BD" w:rsidRPr="00EC5031">
        <w:rPr>
          <w:rFonts w:asciiTheme="majorHAnsi" w:eastAsia="Times New Roman" w:hAnsiTheme="majorHAnsi" w:cs="Times New Roman"/>
          <w:color w:val="000000"/>
          <w:sz w:val="24"/>
          <w:szCs w:val="24"/>
          <w:lang w:eastAsia="cs-CZ"/>
        </w:rPr>
        <w:t>,</w:t>
      </w:r>
      <w:r w:rsidR="00FC6DBE" w:rsidRPr="00EC5031">
        <w:rPr>
          <w:rFonts w:asciiTheme="majorHAnsi" w:eastAsia="Times New Roman" w:hAnsiTheme="majorHAnsi" w:cs="Times New Roman"/>
          <w:color w:val="000000"/>
          <w:sz w:val="24"/>
          <w:szCs w:val="24"/>
          <w:lang w:eastAsia="cs-CZ"/>
        </w:rPr>
        <w:t xml:space="preserve"> tak parametrickou nejistotu</w:t>
      </w:r>
      <w:r w:rsidRPr="00EC5031">
        <w:rPr>
          <w:rFonts w:asciiTheme="majorHAnsi" w:eastAsia="Times New Roman" w:hAnsiTheme="majorHAnsi" w:cs="Times New Roman"/>
          <w:color w:val="000000"/>
          <w:sz w:val="24"/>
          <w:szCs w:val="24"/>
          <w:lang w:eastAsia="cs-CZ"/>
        </w:rPr>
        <w:t xml:space="preserve"> u </w:t>
      </w:r>
      <w:r w:rsidR="00F2206A" w:rsidRPr="00EC5031">
        <w:rPr>
          <w:rFonts w:asciiTheme="majorHAnsi" w:eastAsia="Times New Roman" w:hAnsiTheme="majorHAnsi" w:cs="Times New Roman"/>
          <w:color w:val="000000"/>
          <w:sz w:val="24"/>
          <w:szCs w:val="24"/>
          <w:lang w:eastAsia="cs-CZ"/>
        </w:rPr>
        <w:t>vybraných</w:t>
      </w:r>
      <w:r w:rsidRPr="00EC5031">
        <w:rPr>
          <w:rFonts w:asciiTheme="majorHAnsi" w:eastAsia="Times New Roman" w:hAnsiTheme="majorHAnsi" w:cs="Times New Roman"/>
          <w:color w:val="000000"/>
          <w:sz w:val="24"/>
          <w:szCs w:val="24"/>
          <w:lang w:eastAsia="cs-CZ"/>
        </w:rPr>
        <w:t xml:space="preserve"> vstupních proměnných</w:t>
      </w:r>
      <w:r w:rsidR="00FC6DBE" w:rsidRPr="00EC5031">
        <w:rPr>
          <w:rFonts w:asciiTheme="majorHAnsi" w:eastAsia="Times New Roman" w:hAnsiTheme="majorHAnsi" w:cs="Times New Roman"/>
          <w:color w:val="000000"/>
          <w:sz w:val="24"/>
          <w:szCs w:val="24"/>
          <w:lang w:eastAsia="cs-CZ"/>
        </w:rPr>
        <w:t xml:space="preserve"> vyjádřenou PSA</w:t>
      </w:r>
      <w:r w:rsidRPr="00EC5031">
        <w:rPr>
          <w:rFonts w:asciiTheme="majorHAnsi" w:eastAsia="Times New Roman" w:hAnsiTheme="majorHAnsi" w:cs="Times New Roman"/>
          <w:color w:val="000000"/>
          <w:sz w:val="24"/>
          <w:szCs w:val="24"/>
          <w:lang w:eastAsia="cs-CZ"/>
        </w:rPr>
        <w:t xml:space="preserve">. </w:t>
      </w:r>
      <w:r w:rsidR="00F2206A" w:rsidRPr="00EC5031">
        <w:rPr>
          <w:rFonts w:asciiTheme="majorHAnsi" w:eastAsia="Times New Roman" w:hAnsiTheme="majorHAnsi" w:cs="Times New Roman"/>
          <w:color w:val="000000"/>
          <w:sz w:val="24"/>
          <w:szCs w:val="24"/>
          <w:lang w:eastAsia="cs-CZ"/>
        </w:rPr>
        <w:t xml:space="preserve">Vřele doporučujeme text v příloze, který vysvětluje </w:t>
      </w:r>
      <w:r w:rsidR="00CF101C" w:rsidRPr="00EC5031">
        <w:rPr>
          <w:rFonts w:asciiTheme="majorHAnsi" w:eastAsia="Times New Roman" w:hAnsiTheme="majorHAnsi" w:cs="Times New Roman"/>
          <w:color w:val="000000"/>
          <w:sz w:val="24"/>
          <w:szCs w:val="24"/>
          <w:lang w:eastAsia="cs-CZ"/>
        </w:rPr>
        <w:t xml:space="preserve">jak princip nákladové efektivity tak </w:t>
      </w:r>
      <w:r w:rsidR="00F2206A" w:rsidRPr="00EC5031">
        <w:rPr>
          <w:rFonts w:asciiTheme="majorHAnsi" w:eastAsia="Times New Roman" w:hAnsiTheme="majorHAnsi" w:cs="Times New Roman"/>
          <w:color w:val="000000"/>
          <w:sz w:val="24"/>
          <w:szCs w:val="24"/>
          <w:lang w:eastAsia="cs-CZ"/>
        </w:rPr>
        <w:t xml:space="preserve">Probabilistickou analýzu sensitivity (PSA). Na tomto místě se věnujeme spíše </w:t>
      </w:r>
      <w:r w:rsidR="008D65FF" w:rsidRPr="00EC5031">
        <w:rPr>
          <w:rFonts w:asciiTheme="majorHAnsi" w:eastAsia="Times New Roman" w:hAnsiTheme="majorHAnsi" w:cs="Times New Roman"/>
          <w:color w:val="000000"/>
          <w:sz w:val="24"/>
          <w:szCs w:val="24"/>
          <w:lang w:eastAsia="cs-CZ"/>
        </w:rPr>
        <w:t>praktické aplikaci.</w:t>
      </w:r>
    </w:p>
    <w:p w14:paraId="2823CB92" w14:textId="77777777" w:rsidR="003D7B90" w:rsidRPr="00EC5031" w:rsidRDefault="003D7B90" w:rsidP="004B0842">
      <w:pPr>
        <w:jc w:val="both"/>
        <w:rPr>
          <w:rFonts w:asciiTheme="majorHAnsi" w:eastAsia="Times New Roman" w:hAnsiTheme="majorHAnsi" w:cs="Times New Roman"/>
          <w:color w:val="000000"/>
          <w:sz w:val="24"/>
          <w:szCs w:val="24"/>
          <w:lang w:eastAsia="cs-CZ"/>
        </w:rPr>
      </w:pPr>
      <w:r w:rsidRPr="00EC5031">
        <w:rPr>
          <w:rFonts w:asciiTheme="majorHAnsi" w:eastAsia="Times New Roman" w:hAnsiTheme="majorHAnsi" w:cs="Times New Roman"/>
          <w:color w:val="000000"/>
          <w:sz w:val="24"/>
          <w:szCs w:val="24"/>
          <w:lang w:eastAsia="cs-CZ"/>
        </w:rPr>
        <w:t xml:space="preserve">V rámci níže navrhovaného skórovacího systému je </w:t>
      </w:r>
      <w:r w:rsidR="00CF101C" w:rsidRPr="00EC5031">
        <w:rPr>
          <w:rFonts w:asciiTheme="majorHAnsi" w:eastAsia="Times New Roman" w:hAnsiTheme="majorHAnsi" w:cs="Times New Roman"/>
          <w:color w:val="000000"/>
          <w:sz w:val="24"/>
          <w:szCs w:val="24"/>
          <w:lang w:eastAsia="cs-CZ"/>
        </w:rPr>
        <w:t xml:space="preserve">na </w:t>
      </w:r>
      <w:r w:rsidRPr="00EC5031">
        <w:rPr>
          <w:rFonts w:asciiTheme="majorHAnsi" w:eastAsia="Times New Roman" w:hAnsiTheme="majorHAnsi" w:cs="Times New Roman"/>
          <w:color w:val="000000"/>
          <w:sz w:val="24"/>
          <w:szCs w:val="24"/>
          <w:lang w:eastAsia="cs-CZ"/>
        </w:rPr>
        <w:t>škále</w:t>
      </w:r>
      <w:r w:rsidR="00FC6DBE" w:rsidRPr="00EC5031">
        <w:rPr>
          <w:rFonts w:asciiTheme="majorHAnsi" w:eastAsia="Times New Roman" w:hAnsiTheme="majorHAnsi" w:cs="Times New Roman"/>
          <w:color w:val="000000"/>
          <w:sz w:val="24"/>
          <w:szCs w:val="24"/>
          <w:lang w:eastAsia="cs-CZ"/>
        </w:rPr>
        <w:t xml:space="preserve"> analogické s EVIDEM</w:t>
      </w:r>
      <w:r w:rsidRPr="00EC5031">
        <w:rPr>
          <w:rFonts w:asciiTheme="majorHAnsi" w:eastAsia="Times New Roman" w:hAnsiTheme="majorHAnsi" w:cs="Times New Roman"/>
          <w:color w:val="000000"/>
          <w:sz w:val="24"/>
          <w:szCs w:val="24"/>
          <w:lang w:eastAsia="cs-CZ"/>
        </w:rPr>
        <w:t xml:space="preserve"> oceněn jak výsledek analýzy v základním scénáři, tak je zachycena i míra nejistoty, které výsledek v základním scénáři může „disponovat“. Tato míra nejistoty je pak zachycena průběhem křivky CEAC; celý skórovací systém viz</w:t>
      </w:r>
      <w:r w:rsidR="008D65FF" w:rsidRPr="00EC5031">
        <w:rPr>
          <w:rFonts w:asciiTheme="majorHAnsi" w:eastAsia="Times New Roman" w:hAnsiTheme="majorHAnsi" w:cs="Times New Roman"/>
          <w:color w:val="000000"/>
          <w:sz w:val="24"/>
          <w:szCs w:val="24"/>
          <w:lang w:eastAsia="cs-CZ"/>
        </w:rPr>
        <w:t xml:space="preserve"> tabulka:</w:t>
      </w:r>
    </w:p>
    <w:p w14:paraId="0045790F" w14:textId="77777777" w:rsidR="004B0842" w:rsidRPr="00EC5031" w:rsidRDefault="004B0842" w:rsidP="004B0842">
      <w:pPr>
        <w:jc w:val="both"/>
        <w:rPr>
          <w:rFonts w:asciiTheme="majorHAnsi" w:eastAsia="Times New Roman" w:hAnsiTheme="majorHAnsi" w:cs="Times New Roman"/>
          <w:color w:val="000000"/>
          <w:sz w:val="24"/>
          <w:szCs w:val="24"/>
          <w:lang w:eastAsia="cs-CZ"/>
        </w:rPr>
      </w:pPr>
    </w:p>
    <w:tbl>
      <w:tblPr>
        <w:tblStyle w:val="TableGrid"/>
        <w:tblW w:w="0" w:type="auto"/>
        <w:tblLayout w:type="fixed"/>
        <w:tblLook w:val="04A0" w:firstRow="1" w:lastRow="0" w:firstColumn="1" w:lastColumn="0" w:noHBand="0" w:noVBand="1"/>
      </w:tblPr>
      <w:tblGrid>
        <w:gridCol w:w="817"/>
        <w:gridCol w:w="2849"/>
        <w:gridCol w:w="2396"/>
        <w:gridCol w:w="3226"/>
      </w:tblGrid>
      <w:tr w:rsidR="003D7B90" w:rsidRPr="00EC5031" w14:paraId="4AF4728E" w14:textId="77777777" w:rsidTr="00B65450">
        <w:tc>
          <w:tcPr>
            <w:tcW w:w="817" w:type="dxa"/>
            <w:tcBorders>
              <w:bottom w:val="single" w:sz="4" w:space="0" w:color="auto"/>
            </w:tcBorders>
          </w:tcPr>
          <w:p w14:paraId="0441DFD6" w14:textId="77777777" w:rsidR="003D7B90" w:rsidRPr="00EC5031" w:rsidRDefault="003D7B90" w:rsidP="00B65450">
            <w:pPr>
              <w:jc w:val="center"/>
              <w:rPr>
                <w:rFonts w:asciiTheme="majorHAnsi" w:hAnsiTheme="majorHAnsi" w:cs="Segoe UI"/>
                <w:b/>
                <w:sz w:val="20"/>
                <w:szCs w:val="20"/>
              </w:rPr>
            </w:pPr>
            <w:r w:rsidRPr="00EC5031">
              <w:rPr>
                <w:rFonts w:asciiTheme="majorHAnsi" w:hAnsiTheme="majorHAnsi" w:cs="Segoe UI"/>
                <w:b/>
                <w:sz w:val="20"/>
                <w:szCs w:val="20"/>
              </w:rPr>
              <w:t>Skóre</w:t>
            </w:r>
          </w:p>
        </w:tc>
        <w:tc>
          <w:tcPr>
            <w:tcW w:w="2849" w:type="dxa"/>
            <w:tcBorders>
              <w:bottom w:val="single" w:sz="4" w:space="0" w:color="auto"/>
            </w:tcBorders>
          </w:tcPr>
          <w:p w14:paraId="6E34CEBC" w14:textId="77777777" w:rsidR="003D7B90" w:rsidRPr="00EC5031" w:rsidRDefault="003D7B90" w:rsidP="00B65450">
            <w:pPr>
              <w:jc w:val="center"/>
              <w:rPr>
                <w:rFonts w:asciiTheme="majorHAnsi" w:hAnsiTheme="majorHAnsi" w:cs="Segoe UI"/>
                <w:b/>
                <w:sz w:val="20"/>
                <w:szCs w:val="20"/>
              </w:rPr>
            </w:pPr>
            <w:r w:rsidRPr="00EC5031">
              <w:rPr>
                <w:rFonts w:asciiTheme="majorHAnsi" w:hAnsiTheme="majorHAnsi" w:cs="Segoe UI"/>
                <w:b/>
                <w:sz w:val="20"/>
                <w:szCs w:val="20"/>
              </w:rPr>
              <w:t>Výsledek CUA</w:t>
            </w:r>
          </w:p>
        </w:tc>
        <w:tc>
          <w:tcPr>
            <w:tcW w:w="5622" w:type="dxa"/>
            <w:gridSpan w:val="2"/>
            <w:tcBorders>
              <w:bottom w:val="single" w:sz="4" w:space="0" w:color="auto"/>
            </w:tcBorders>
          </w:tcPr>
          <w:p w14:paraId="7AEC0122" w14:textId="77777777" w:rsidR="003D7B90" w:rsidRPr="00EC5031" w:rsidRDefault="003D7B90" w:rsidP="00B65450">
            <w:pPr>
              <w:jc w:val="center"/>
              <w:rPr>
                <w:rFonts w:asciiTheme="majorHAnsi" w:hAnsiTheme="majorHAnsi" w:cs="Segoe UI"/>
                <w:b/>
                <w:sz w:val="20"/>
                <w:szCs w:val="20"/>
              </w:rPr>
            </w:pPr>
            <w:r w:rsidRPr="00EC5031">
              <w:rPr>
                <w:rFonts w:asciiTheme="majorHAnsi" w:hAnsiTheme="majorHAnsi" w:cs="Segoe UI"/>
                <w:b/>
                <w:sz w:val="20"/>
                <w:szCs w:val="20"/>
              </w:rPr>
              <w:t>Příklad výsledků PSA</w:t>
            </w:r>
          </w:p>
        </w:tc>
      </w:tr>
      <w:tr w:rsidR="003D7B90" w:rsidRPr="00EC5031" w14:paraId="732B7493" w14:textId="77777777" w:rsidTr="00B65450">
        <w:trPr>
          <w:trHeight w:val="624"/>
        </w:trPr>
        <w:tc>
          <w:tcPr>
            <w:tcW w:w="817" w:type="dxa"/>
            <w:tcBorders>
              <w:bottom w:val="nil"/>
            </w:tcBorders>
            <w:vAlign w:val="center"/>
          </w:tcPr>
          <w:p w14:paraId="1EDB9F82" w14:textId="77777777" w:rsidR="003D7B90" w:rsidRPr="00EC5031" w:rsidRDefault="003D7B90" w:rsidP="00B65450">
            <w:pPr>
              <w:jc w:val="center"/>
              <w:rPr>
                <w:rFonts w:asciiTheme="majorHAnsi" w:hAnsiTheme="majorHAnsi" w:cs="Segoe UI"/>
                <w:b/>
                <w:sz w:val="20"/>
                <w:szCs w:val="20"/>
              </w:rPr>
            </w:pPr>
            <w:r w:rsidRPr="00EC5031">
              <w:rPr>
                <w:rFonts w:asciiTheme="majorHAnsi" w:hAnsiTheme="majorHAnsi" w:cs="Segoe UI"/>
                <w:b/>
                <w:sz w:val="20"/>
                <w:szCs w:val="20"/>
              </w:rPr>
              <w:t>3</w:t>
            </w:r>
          </w:p>
        </w:tc>
        <w:tc>
          <w:tcPr>
            <w:tcW w:w="2849" w:type="dxa"/>
            <w:tcBorders>
              <w:bottom w:val="nil"/>
            </w:tcBorders>
            <w:vAlign w:val="center"/>
          </w:tcPr>
          <w:p w14:paraId="6A83039C" w14:textId="77777777" w:rsidR="003D7B90" w:rsidRPr="00EC5031" w:rsidRDefault="003D7B90" w:rsidP="00B65450">
            <w:pPr>
              <w:rPr>
                <w:rFonts w:asciiTheme="majorHAnsi" w:hAnsiTheme="majorHAnsi" w:cs="Segoe UI"/>
                <w:sz w:val="20"/>
                <w:szCs w:val="20"/>
              </w:rPr>
            </w:pPr>
            <w:r w:rsidRPr="00EC5031">
              <w:rPr>
                <w:rFonts w:asciiTheme="majorHAnsi" w:hAnsiTheme="majorHAnsi" w:cs="Segoe UI"/>
                <w:sz w:val="20"/>
                <w:szCs w:val="20"/>
              </w:rPr>
              <w:t xml:space="preserve">Base-case pod 1 HDP </w:t>
            </w:r>
            <w:r w:rsidRPr="00EC5031">
              <w:rPr>
                <w:rFonts w:asciiTheme="majorHAnsi" w:hAnsiTheme="majorHAnsi" w:cs="Segoe UI"/>
                <w:b/>
                <w:sz w:val="20"/>
                <w:szCs w:val="20"/>
              </w:rPr>
              <w:t>a</w:t>
            </w:r>
            <w:r w:rsidRPr="00EC5031">
              <w:rPr>
                <w:rFonts w:asciiTheme="majorHAnsi" w:hAnsiTheme="majorHAnsi" w:cs="Segoe UI"/>
                <w:sz w:val="20"/>
                <w:szCs w:val="20"/>
              </w:rPr>
              <w:br/>
              <w:t>70 % iterací v PSA pod 2 HDP</w:t>
            </w:r>
          </w:p>
        </w:tc>
        <w:tc>
          <w:tcPr>
            <w:tcW w:w="2396" w:type="dxa"/>
            <w:tcBorders>
              <w:bottom w:val="nil"/>
              <w:right w:val="nil"/>
            </w:tcBorders>
          </w:tcPr>
          <w:p w14:paraId="3F2E5927" w14:textId="77777777" w:rsidR="003D7B90" w:rsidRPr="00EC5031" w:rsidRDefault="003D7B90" w:rsidP="00B65450">
            <w:pPr>
              <w:jc w:val="center"/>
              <w:rPr>
                <w:rFonts w:asciiTheme="majorHAnsi" w:hAnsiTheme="majorHAnsi" w:cs="Segoe UI"/>
                <w:sz w:val="20"/>
                <w:szCs w:val="20"/>
              </w:rPr>
            </w:pPr>
            <w:r w:rsidRPr="00EC5031">
              <w:rPr>
                <w:rFonts w:asciiTheme="majorHAnsi" w:hAnsiTheme="majorHAnsi" w:cs="Segoe UI"/>
                <w:noProof/>
                <w:sz w:val="20"/>
                <w:szCs w:val="20"/>
                <w:lang w:val="en-US"/>
              </w:rPr>
              <w:drawing>
                <wp:inline distT="0" distB="0" distL="0" distR="0" wp14:anchorId="50CE0F04" wp14:editId="0C22EACB">
                  <wp:extent cx="966159" cy="866066"/>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6292" cy="866185"/>
                          </a:xfrm>
                          <a:prstGeom prst="rect">
                            <a:avLst/>
                          </a:prstGeom>
                          <a:noFill/>
                          <a:ln>
                            <a:noFill/>
                          </a:ln>
                        </pic:spPr>
                      </pic:pic>
                    </a:graphicData>
                  </a:graphic>
                </wp:inline>
              </w:drawing>
            </w:r>
          </w:p>
        </w:tc>
        <w:tc>
          <w:tcPr>
            <w:tcW w:w="3226" w:type="dxa"/>
            <w:tcBorders>
              <w:left w:val="nil"/>
              <w:bottom w:val="nil"/>
            </w:tcBorders>
          </w:tcPr>
          <w:p w14:paraId="701F1311" w14:textId="77777777" w:rsidR="003D7B90" w:rsidRPr="00EC5031" w:rsidRDefault="003D7B90" w:rsidP="00B65450">
            <w:pPr>
              <w:jc w:val="center"/>
              <w:rPr>
                <w:rFonts w:asciiTheme="majorHAnsi" w:hAnsiTheme="majorHAnsi" w:cs="Segoe UI"/>
                <w:sz w:val="20"/>
                <w:szCs w:val="20"/>
              </w:rPr>
            </w:pPr>
            <w:r w:rsidRPr="00EC5031">
              <w:rPr>
                <w:rFonts w:asciiTheme="majorHAnsi" w:hAnsiTheme="majorHAnsi" w:cs="Segoe UI"/>
                <w:noProof/>
                <w:sz w:val="20"/>
                <w:szCs w:val="20"/>
                <w:lang w:val="en-US"/>
              </w:rPr>
              <w:drawing>
                <wp:inline distT="0" distB="0" distL="0" distR="0" wp14:anchorId="32961529" wp14:editId="42B68E33">
                  <wp:extent cx="1751162" cy="94398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1514" cy="944170"/>
                          </a:xfrm>
                          <a:prstGeom prst="rect">
                            <a:avLst/>
                          </a:prstGeom>
                          <a:noFill/>
                          <a:ln>
                            <a:noFill/>
                          </a:ln>
                        </pic:spPr>
                      </pic:pic>
                    </a:graphicData>
                  </a:graphic>
                </wp:inline>
              </w:drawing>
            </w:r>
          </w:p>
        </w:tc>
      </w:tr>
      <w:tr w:rsidR="003D7B90" w:rsidRPr="00EC5031" w14:paraId="029057E2" w14:textId="77777777" w:rsidTr="00B65450">
        <w:trPr>
          <w:trHeight w:val="624"/>
        </w:trPr>
        <w:tc>
          <w:tcPr>
            <w:tcW w:w="817" w:type="dxa"/>
            <w:tcBorders>
              <w:top w:val="nil"/>
              <w:bottom w:val="nil"/>
            </w:tcBorders>
            <w:vAlign w:val="center"/>
          </w:tcPr>
          <w:p w14:paraId="65241FEA" w14:textId="77777777" w:rsidR="003D7B90" w:rsidRPr="00EC5031" w:rsidRDefault="003D7B90" w:rsidP="00B65450">
            <w:pPr>
              <w:jc w:val="center"/>
              <w:rPr>
                <w:rFonts w:asciiTheme="majorHAnsi" w:hAnsiTheme="majorHAnsi" w:cs="Segoe UI"/>
                <w:b/>
                <w:sz w:val="20"/>
                <w:szCs w:val="20"/>
              </w:rPr>
            </w:pPr>
            <w:r w:rsidRPr="00EC5031">
              <w:rPr>
                <w:rFonts w:asciiTheme="majorHAnsi" w:hAnsiTheme="majorHAnsi" w:cs="Segoe UI"/>
                <w:b/>
                <w:sz w:val="20"/>
                <w:szCs w:val="20"/>
              </w:rPr>
              <w:t>2</w:t>
            </w:r>
          </w:p>
        </w:tc>
        <w:tc>
          <w:tcPr>
            <w:tcW w:w="2849" w:type="dxa"/>
            <w:tcBorders>
              <w:top w:val="nil"/>
              <w:bottom w:val="nil"/>
            </w:tcBorders>
            <w:vAlign w:val="center"/>
          </w:tcPr>
          <w:p w14:paraId="35E93F3B" w14:textId="77777777" w:rsidR="003D7B90" w:rsidRPr="00EC5031" w:rsidRDefault="003D7B90" w:rsidP="00B65450">
            <w:pPr>
              <w:rPr>
                <w:rFonts w:asciiTheme="majorHAnsi" w:hAnsiTheme="majorHAnsi" w:cs="Segoe UI"/>
                <w:sz w:val="20"/>
                <w:szCs w:val="20"/>
              </w:rPr>
            </w:pPr>
            <w:r w:rsidRPr="00EC5031">
              <w:rPr>
                <w:rFonts w:asciiTheme="majorHAnsi" w:hAnsiTheme="majorHAnsi" w:cs="Segoe UI"/>
                <w:sz w:val="20"/>
                <w:szCs w:val="20"/>
              </w:rPr>
              <w:t>Pokud ne skóre 3, ale:</w:t>
            </w:r>
            <w:r w:rsidRPr="00EC5031">
              <w:rPr>
                <w:rFonts w:asciiTheme="majorHAnsi" w:hAnsiTheme="majorHAnsi" w:cs="Segoe UI"/>
                <w:sz w:val="20"/>
                <w:szCs w:val="20"/>
              </w:rPr>
              <w:br/>
              <w:t xml:space="preserve">Base-case pod 3 HDP </w:t>
            </w:r>
            <w:r w:rsidRPr="00EC5031">
              <w:rPr>
                <w:rFonts w:asciiTheme="majorHAnsi" w:hAnsiTheme="majorHAnsi" w:cs="Segoe UI"/>
                <w:b/>
                <w:sz w:val="20"/>
                <w:szCs w:val="20"/>
              </w:rPr>
              <w:t>a</w:t>
            </w:r>
            <w:r w:rsidRPr="00EC5031">
              <w:rPr>
                <w:rFonts w:asciiTheme="majorHAnsi" w:hAnsiTheme="majorHAnsi" w:cs="Segoe UI"/>
                <w:sz w:val="20"/>
                <w:szCs w:val="20"/>
              </w:rPr>
              <w:t xml:space="preserve"> </w:t>
            </w:r>
            <w:r w:rsidRPr="00EC5031">
              <w:rPr>
                <w:rFonts w:asciiTheme="majorHAnsi" w:hAnsiTheme="majorHAnsi" w:cs="Segoe UI"/>
                <w:sz w:val="20"/>
                <w:szCs w:val="20"/>
              </w:rPr>
              <w:br/>
              <w:t>70 % iterací v PSA pod 4 HDP</w:t>
            </w:r>
          </w:p>
        </w:tc>
        <w:tc>
          <w:tcPr>
            <w:tcW w:w="2396" w:type="dxa"/>
            <w:tcBorders>
              <w:top w:val="nil"/>
              <w:bottom w:val="nil"/>
              <w:right w:val="nil"/>
            </w:tcBorders>
          </w:tcPr>
          <w:p w14:paraId="502B9180" w14:textId="77777777" w:rsidR="003D7B90" w:rsidRPr="00EC5031" w:rsidRDefault="003D7B90" w:rsidP="00B65450">
            <w:pPr>
              <w:jc w:val="center"/>
              <w:rPr>
                <w:rFonts w:asciiTheme="majorHAnsi" w:hAnsiTheme="majorHAnsi" w:cs="Segoe UI"/>
                <w:sz w:val="20"/>
                <w:szCs w:val="20"/>
              </w:rPr>
            </w:pPr>
            <w:r w:rsidRPr="00EC5031">
              <w:rPr>
                <w:rFonts w:asciiTheme="majorHAnsi" w:hAnsiTheme="majorHAnsi" w:cs="Segoe UI"/>
                <w:noProof/>
                <w:sz w:val="20"/>
                <w:szCs w:val="20"/>
                <w:lang w:val="en-US"/>
              </w:rPr>
              <w:drawing>
                <wp:inline distT="0" distB="0" distL="0" distR="0" wp14:anchorId="707A1F3A" wp14:editId="180CF912">
                  <wp:extent cx="1061049" cy="930491"/>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1358" cy="930762"/>
                          </a:xfrm>
                          <a:prstGeom prst="rect">
                            <a:avLst/>
                          </a:prstGeom>
                          <a:noFill/>
                          <a:ln>
                            <a:noFill/>
                          </a:ln>
                        </pic:spPr>
                      </pic:pic>
                    </a:graphicData>
                  </a:graphic>
                </wp:inline>
              </w:drawing>
            </w:r>
          </w:p>
        </w:tc>
        <w:tc>
          <w:tcPr>
            <w:tcW w:w="3226" w:type="dxa"/>
            <w:tcBorders>
              <w:top w:val="nil"/>
              <w:left w:val="nil"/>
              <w:bottom w:val="nil"/>
            </w:tcBorders>
          </w:tcPr>
          <w:p w14:paraId="3279B7E3" w14:textId="77777777" w:rsidR="003D7B90" w:rsidRPr="00EC5031" w:rsidRDefault="003D7B90" w:rsidP="00B65450">
            <w:pPr>
              <w:jc w:val="center"/>
              <w:rPr>
                <w:rFonts w:asciiTheme="majorHAnsi" w:hAnsiTheme="majorHAnsi" w:cs="Segoe UI"/>
                <w:sz w:val="20"/>
                <w:szCs w:val="20"/>
              </w:rPr>
            </w:pPr>
            <w:r w:rsidRPr="00EC5031">
              <w:rPr>
                <w:rFonts w:asciiTheme="majorHAnsi" w:hAnsiTheme="majorHAnsi" w:cs="Segoe UI"/>
                <w:noProof/>
                <w:sz w:val="20"/>
                <w:szCs w:val="20"/>
                <w:lang w:val="en-US"/>
              </w:rPr>
              <w:drawing>
                <wp:inline distT="0" distB="0" distL="0" distR="0" wp14:anchorId="44BBEAE6" wp14:editId="782F5EB4">
                  <wp:extent cx="1906270" cy="10350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6270" cy="1035050"/>
                          </a:xfrm>
                          <a:prstGeom prst="rect">
                            <a:avLst/>
                          </a:prstGeom>
                          <a:noFill/>
                          <a:ln>
                            <a:noFill/>
                          </a:ln>
                        </pic:spPr>
                      </pic:pic>
                    </a:graphicData>
                  </a:graphic>
                </wp:inline>
              </w:drawing>
            </w:r>
          </w:p>
        </w:tc>
      </w:tr>
      <w:tr w:rsidR="003D7B90" w:rsidRPr="00EC5031" w14:paraId="0CB85952" w14:textId="77777777" w:rsidTr="00B65450">
        <w:trPr>
          <w:trHeight w:val="624"/>
        </w:trPr>
        <w:tc>
          <w:tcPr>
            <w:tcW w:w="817" w:type="dxa"/>
            <w:tcBorders>
              <w:top w:val="nil"/>
              <w:bottom w:val="nil"/>
            </w:tcBorders>
            <w:vAlign w:val="center"/>
          </w:tcPr>
          <w:p w14:paraId="76883976" w14:textId="77777777" w:rsidR="003D7B90" w:rsidRPr="00EC5031" w:rsidRDefault="003D7B90" w:rsidP="00B65450">
            <w:pPr>
              <w:jc w:val="center"/>
              <w:rPr>
                <w:rFonts w:asciiTheme="majorHAnsi" w:hAnsiTheme="majorHAnsi" w:cs="Segoe UI"/>
                <w:b/>
                <w:sz w:val="20"/>
                <w:szCs w:val="20"/>
              </w:rPr>
            </w:pPr>
            <w:r w:rsidRPr="00EC5031">
              <w:rPr>
                <w:rFonts w:asciiTheme="majorHAnsi" w:hAnsiTheme="majorHAnsi" w:cs="Segoe UI"/>
                <w:b/>
                <w:sz w:val="20"/>
                <w:szCs w:val="20"/>
              </w:rPr>
              <w:t>1</w:t>
            </w:r>
          </w:p>
        </w:tc>
        <w:tc>
          <w:tcPr>
            <w:tcW w:w="2849" w:type="dxa"/>
            <w:tcBorders>
              <w:top w:val="nil"/>
              <w:bottom w:val="nil"/>
            </w:tcBorders>
            <w:vAlign w:val="center"/>
          </w:tcPr>
          <w:p w14:paraId="63116532" w14:textId="77777777" w:rsidR="003D7B90" w:rsidRPr="00EC5031" w:rsidRDefault="003D7B90" w:rsidP="00B65450">
            <w:pPr>
              <w:rPr>
                <w:rFonts w:asciiTheme="majorHAnsi" w:hAnsiTheme="majorHAnsi" w:cs="Segoe UI"/>
                <w:sz w:val="20"/>
                <w:szCs w:val="20"/>
              </w:rPr>
            </w:pPr>
            <w:r w:rsidRPr="00EC5031">
              <w:rPr>
                <w:rFonts w:asciiTheme="majorHAnsi" w:hAnsiTheme="majorHAnsi" w:cs="Segoe UI"/>
                <w:sz w:val="20"/>
                <w:szCs w:val="20"/>
              </w:rPr>
              <w:t>Pokud ne skóre 2, ale:</w:t>
            </w:r>
            <w:r w:rsidRPr="00EC5031">
              <w:rPr>
                <w:rFonts w:asciiTheme="majorHAnsi" w:hAnsiTheme="majorHAnsi" w:cs="Segoe UI"/>
                <w:sz w:val="20"/>
                <w:szCs w:val="20"/>
              </w:rPr>
              <w:br/>
              <w:t xml:space="preserve">Base-case pod 4 HDP </w:t>
            </w:r>
            <w:r w:rsidRPr="00EC5031">
              <w:rPr>
                <w:rFonts w:asciiTheme="majorHAnsi" w:hAnsiTheme="majorHAnsi" w:cs="Segoe UI"/>
                <w:b/>
                <w:sz w:val="20"/>
                <w:szCs w:val="20"/>
              </w:rPr>
              <w:t>a</w:t>
            </w:r>
            <w:r w:rsidRPr="00EC5031">
              <w:rPr>
                <w:rFonts w:asciiTheme="majorHAnsi" w:hAnsiTheme="majorHAnsi" w:cs="Segoe UI"/>
                <w:sz w:val="20"/>
                <w:szCs w:val="20"/>
              </w:rPr>
              <w:t xml:space="preserve"> </w:t>
            </w:r>
            <w:r w:rsidRPr="00EC5031">
              <w:rPr>
                <w:rFonts w:asciiTheme="majorHAnsi" w:hAnsiTheme="majorHAnsi" w:cs="Segoe UI"/>
                <w:sz w:val="20"/>
                <w:szCs w:val="20"/>
              </w:rPr>
              <w:br/>
              <w:t>70 % iterací v PSA pod 6 HDP</w:t>
            </w:r>
          </w:p>
        </w:tc>
        <w:tc>
          <w:tcPr>
            <w:tcW w:w="2396" w:type="dxa"/>
            <w:tcBorders>
              <w:top w:val="nil"/>
              <w:bottom w:val="nil"/>
              <w:right w:val="nil"/>
            </w:tcBorders>
          </w:tcPr>
          <w:p w14:paraId="2D640D5A" w14:textId="77777777" w:rsidR="003D7B90" w:rsidRPr="00EC5031" w:rsidRDefault="003D7B90" w:rsidP="00B65450">
            <w:pPr>
              <w:jc w:val="center"/>
              <w:rPr>
                <w:rFonts w:asciiTheme="majorHAnsi" w:hAnsiTheme="majorHAnsi" w:cs="Segoe UI"/>
                <w:sz w:val="20"/>
                <w:szCs w:val="20"/>
              </w:rPr>
            </w:pPr>
            <w:r w:rsidRPr="00EC5031">
              <w:rPr>
                <w:rFonts w:asciiTheme="majorHAnsi" w:hAnsiTheme="majorHAnsi" w:cs="Segoe UI"/>
                <w:noProof/>
                <w:sz w:val="20"/>
                <w:szCs w:val="20"/>
                <w:lang w:val="en-US"/>
              </w:rPr>
              <w:drawing>
                <wp:inline distT="0" distB="0" distL="0" distR="0" wp14:anchorId="4C5127D6" wp14:editId="60720DBD">
                  <wp:extent cx="1006584" cy="923027"/>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6700" cy="923133"/>
                          </a:xfrm>
                          <a:prstGeom prst="rect">
                            <a:avLst/>
                          </a:prstGeom>
                          <a:noFill/>
                          <a:ln>
                            <a:noFill/>
                          </a:ln>
                        </pic:spPr>
                      </pic:pic>
                    </a:graphicData>
                  </a:graphic>
                </wp:inline>
              </w:drawing>
            </w:r>
          </w:p>
        </w:tc>
        <w:tc>
          <w:tcPr>
            <w:tcW w:w="3226" w:type="dxa"/>
            <w:tcBorders>
              <w:top w:val="nil"/>
              <w:left w:val="nil"/>
              <w:bottom w:val="nil"/>
            </w:tcBorders>
          </w:tcPr>
          <w:p w14:paraId="7260F588" w14:textId="77777777" w:rsidR="003D7B90" w:rsidRPr="00EC5031" w:rsidRDefault="003D7B90" w:rsidP="00B65450">
            <w:pPr>
              <w:rPr>
                <w:rFonts w:asciiTheme="majorHAnsi" w:hAnsiTheme="majorHAnsi" w:cs="Segoe UI"/>
                <w:sz w:val="20"/>
                <w:szCs w:val="20"/>
              </w:rPr>
            </w:pPr>
            <w:r w:rsidRPr="00EC5031">
              <w:rPr>
                <w:rFonts w:asciiTheme="majorHAnsi" w:hAnsiTheme="majorHAnsi" w:cs="Segoe UI"/>
                <w:noProof/>
                <w:sz w:val="20"/>
                <w:szCs w:val="20"/>
                <w:lang w:val="en-US"/>
              </w:rPr>
              <w:drawing>
                <wp:inline distT="0" distB="0" distL="0" distR="0" wp14:anchorId="1285F310" wp14:editId="37CA79C4">
                  <wp:extent cx="1906270" cy="103505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6270" cy="1035050"/>
                          </a:xfrm>
                          <a:prstGeom prst="rect">
                            <a:avLst/>
                          </a:prstGeom>
                          <a:noFill/>
                          <a:ln>
                            <a:noFill/>
                          </a:ln>
                        </pic:spPr>
                      </pic:pic>
                    </a:graphicData>
                  </a:graphic>
                </wp:inline>
              </w:drawing>
            </w:r>
          </w:p>
        </w:tc>
      </w:tr>
      <w:tr w:rsidR="003D7B90" w:rsidRPr="00EC5031" w14:paraId="239A3E66" w14:textId="77777777" w:rsidTr="00B65450">
        <w:trPr>
          <w:trHeight w:val="624"/>
        </w:trPr>
        <w:tc>
          <w:tcPr>
            <w:tcW w:w="817" w:type="dxa"/>
            <w:tcBorders>
              <w:top w:val="nil"/>
            </w:tcBorders>
            <w:vAlign w:val="center"/>
          </w:tcPr>
          <w:p w14:paraId="17475C75" w14:textId="77777777" w:rsidR="003D7B90" w:rsidRPr="00EC5031" w:rsidRDefault="003D7B90" w:rsidP="00B65450">
            <w:pPr>
              <w:jc w:val="center"/>
              <w:rPr>
                <w:rFonts w:asciiTheme="majorHAnsi" w:hAnsiTheme="majorHAnsi" w:cs="Segoe UI"/>
                <w:b/>
                <w:sz w:val="20"/>
                <w:szCs w:val="20"/>
              </w:rPr>
            </w:pPr>
            <w:r w:rsidRPr="00EC5031">
              <w:rPr>
                <w:rFonts w:asciiTheme="majorHAnsi" w:hAnsiTheme="majorHAnsi" w:cs="Segoe UI"/>
                <w:b/>
                <w:sz w:val="20"/>
                <w:szCs w:val="20"/>
              </w:rPr>
              <w:t>0</w:t>
            </w:r>
          </w:p>
        </w:tc>
        <w:tc>
          <w:tcPr>
            <w:tcW w:w="2849" w:type="dxa"/>
            <w:tcBorders>
              <w:top w:val="nil"/>
            </w:tcBorders>
            <w:vAlign w:val="center"/>
          </w:tcPr>
          <w:p w14:paraId="27B2BACA" w14:textId="77777777" w:rsidR="003D7B90" w:rsidRPr="00EC5031" w:rsidRDefault="003D7B90" w:rsidP="00B65450">
            <w:pPr>
              <w:rPr>
                <w:rFonts w:asciiTheme="majorHAnsi" w:hAnsiTheme="majorHAnsi" w:cs="Segoe UI"/>
                <w:sz w:val="20"/>
                <w:szCs w:val="20"/>
              </w:rPr>
            </w:pPr>
            <w:r w:rsidRPr="00EC5031">
              <w:rPr>
                <w:rFonts w:asciiTheme="majorHAnsi" w:hAnsiTheme="majorHAnsi" w:cs="Segoe UI"/>
                <w:sz w:val="20"/>
                <w:szCs w:val="20"/>
              </w:rPr>
              <w:t xml:space="preserve">Base-case nad 4 HDP </w:t>
            </w:r>
            <w:r w:rsidRPr="00EC5031">
              <w:rPr>
                <w:rFonts w:asciiTheme="majorHAnsi" w:hAnsiTheme="majorHAnsi" w:cs="Segoe UI"/>
                <w:b/>
                <w:sz w:val="20"/>
                <w:szCs w:val="20"/>
              </w:rPr>
              <w:t>nebo</w:t>
            </w:r>
            <w:r w:rsidRPr="00EC5031">
              <w:rPr>
                <w:rFonts w:asciiTheme="majorHAnsi" w:hAnsiTheme="majorHAnsi" w:cs="Segoe UI"/>
                <w:sz w:val="20"/>
                <w:szCs w:val="20"/>
              </w:rPr>
              <w:t xml:space="preserve"> 70 % iterací v PSA nad 6 HDP (s jakýmkoliv base-case)</w:t>
            </w:r>
          </w:p>
        </w:tc>
        <w:tc>
          <w:tcPr>
            <w:tcW w:w="2396" w:type="dxa"/>
            <w:tcBorders>
              <w:top w:val="nil"/>
              <w:right w:val="nil"/>
            </w:tcBorders>
          </w:tcPr>
          <w:p w14:paraId="0EB49966" w14:textId="77777777" w:rsidR="003D7B90" w:rsidRPr="00EC5031" w:rsidRDefault="003D7B90" w:rsidP="00B65450">
            <w:pPr>
              <w:rPr>
                <w:rFonts w:asciiTheme="majorHAnsi" w:hAnsiTheme="majorHAnsi" w:cs="Segoe UI"/>
                <w:sz w:val="20"/>
                <w:szCs w:val="20"/>
              </w:rPr>
            </w:pPr>
          </w:p>
        </w:tc>
        <w:tc>
          <w:tcPr>
            <w:tcW w:w="3226" w:type="dxa"/>
            <w:tcBorders>
              <w:top w:val="nil"/>
              <w:left w:val="nil"/>
            </w:tcBorders>
          </w:tcPr>
          <w:p w14:paraId="416D9281" w14:textId="77777777" w:rsidR="003D7B90" w:rsidRPr="00EC5031" w:rsidRDefault="003D7B90" w:rsidP="00B65450">
            <w:pPr>
              <w:rPr>
                <w:rFonts w:asciiTheme="majorHAnsi" w:hAnsiTheme="majorHAnsi" w:cs="Segoe UI"/>
                <w:sz w:val="20"/>
                <w:szCs w:val="20"/>
              </w:rPr>
            </w:pPr>
          </w:p>
        </w:tc>
      </w:tr>
    </w:tbl>
    <w:p w14:paraId="6F58993B" w14:textId="77777777" w:rsidR="008D65FF" w:rsidRPr="00EC5031" w:rsidRDefault="003D7B90" w:rsidP="003D7B90">
      <w:pPr>
        <w:rPr>
          <w:rFonts w:asciiTheme="majorHAnsi" w:hAnsiTheme="majorHAnsi" w:cs="Segoe UI"/>
          <w:i/>
          <w:sz w:val="20"/>
        </w:rPr>
      </w:pPr>
      <w:r w:rsidRPr="00EC5031">
        <w:rPr>
          <w:rFonts w:asciiTheme="majorHAnsi" w:hAnsiTheme="majorHAnsi" w:cs="Segoe UI"/>
          <w:i/>
          <w:sz w:val="20"/>
        </w:rPr>
        <w:t>* HDP je rozuměno výše HDP na osobu v</w:t>
      </w:r>
      <w:r w:rsidR="008D65FF" w:rsidRPr="00EC5031">
        <w:rPr>
          <w:rFonts w:asciiTheme="majorHAnsi" w:hAnsiTheme="majorHAnsi" w:cs="Segoe UI"/>
          <w:i/>
          <w:sz w:val="20"/>
        </w:rPr>
        <w:t> </w:t>
      </w:r>
      <w:r w:rsidRPr="00EC5031">
        <w:rPr>
          <w:rFonts w:asciiTheme="majorHAnsi" w:hAnsiTheme="majorHAnsi" w:cs="Segoe UI"/>
          <w:i/>
          <w:sz w:val="20"/>
        </w:rPr>
        <w:t>ČR</w:t>
      </w:r>
    </w:p>
    <w:p w14:paraId="34FB65E5" w14:textId="2934CE7A" w:rsidR="003D7B90" w:rsidRPr="00EC5031" w:rsidRDefault="003D7B90" w:rsidP="003D7B90">
      <w:pPr>
        <w:rPr>
          <w:rFonts w:asciiTheme="majorHAnsi" w:hAnsiTheme="majorHAnsi"/>
          <w:sz w:val="24"/>
          <w:szCs w:val="24"/>
        </w:rPr>
      </w:pPr>
      <w:r w:rsidRPr="00EC5031">
        <w:rPr>
          <w:rFonts w:asciiTheme="majorHAnsi" w:hAnsiTheme="majorHAnsi"/>
          <w:sz w:val="24"/>
          <w:szCs w:val="24"/>
        </w:rPr>
        <w:t>Příklady</w:t>
      </w:r>
      <w:r w:rsidR="00FB3AC7">
        <w:rPr>
          <w:rFonts w:asciiTheme="majorHAnsi" w:hAnsiTheme="majorHAnsi"/>
          <w:sz w:val="24"/>
          <w:szCs w:val="24"/>
        </w:rPr>
        <w:t xml:space="preserve"> (BC=base case)</w:t>
      </w:r>
      <w:r w:rsidRPr="00EC5031">
        <w:rPr>
          <w:rFonts w:asciiTheme="majorHAnsi" w:hAnsiTheme="majorHAnsi"/>
          <w:sz w:val="24"/>
          <w:szCs w:val="24"/>
        </w:rPr>
        <w:t>:</w:t>
      </w:r>
    </w:p>
    <w:p w14:paraId="2B80C69A" w14:textId="77777777" w:rsidR="003D7B90" w:rsidRPr="00EC5031" w:rsidRDefault="003D7B90" w:rsidP="003D7B90">
      <w:pPr>
        <w:ind w:firstLine="708"/>
        <w:rPr>
          <w:rFonts w:asciiTheme="majorHAnsi" w:hAnsiTheme="majorHAnsi"/>
          <w:b/>
          <w:sz w:val="24"/>
          <w:szCs w:val="24"/>
        </w:rPr>
      </w:pPr>
      <w:r w:rsidRPr="00EC5031">
        <w:rPr>
          <w:rFonts w:asciiTheme="majorHAnsi" w:hAnsiTheme="majorHAnsi"/>
          <w:sz w:val="24"/>
          <w:szCs w:val="24"/>
        </w:rPr>
        <w:t xml:space="preserve">BC 200 000 Kč/QALY, 50 % iterací pod 2 HDP, ale 80 % pod 3 HDP = </w:t>
      </w:r>
      <w:r w:rsidRPr="00EC5031">
        <w:rPr>
          <w:rFonts w:asciiTheme="majorHAnsi" w:hAnsiTheme="majorHAnsi"/>
          <w:b/>
          <w:sz w:val="24"/>
          <w:szCs w:val="24"/>
        </w:rPr>
        <w:t>2 body</w:t>
      </w:r>
    </w:p>
    <w:p w14:paraId="064FD592" w14:textId="77777777" w:rsidR="003D7B90" w:rsidRPr="00EC5031" w:rsidRDefault="003D7B90" w:rsidP="003D7B90">
      <w:pPr>
        <w:ind w:firstLine="708"/>
        <w:rPr>
          <w:rFonts w:asciiTheme="majorHAnsi" w:hAnsiTheme="majorHAnsi"/>
          <w:sz w:val="24"/>
          <w:szCs w:val="24"/>
        </w:rPr>
      </w:pPr>
      <w:r w:rsidRPr="00EC5031">
        <w:rPr>
          <w:rFonts w:asciiTheme="majorHAnsi" w:hAnsiTheme="majorHAnsi"/>
          <w:sz w:val="24"/>
          <w:szCs w:val="24"/>
        </w:rPr>
        <w:t xml:space="preserve">BC 900 000 Kč/QALY, 60 % iterací pod 4 HDP, ale 72 % pod 6 HDP = </w:t>
      </w:r>
      <w:r w:rsidRPr="00EC5031">
        <w:rPr>
          <w:rFonts w:asciiTheme="majorHAnsi" w:hAnsiTheme="majorHAnsi"/>
          <w:b/>
          <w:sz w:val="24"/>
          <w:szCs w:val="24"/>
        </w:rPr>
        <w:t>1 bod</w:t>
      </w:r>
    </w:p>
    <w:p w14:paraId="3FC0EA6D" w14:textId="77777777" w:rsidR="003D7B90" w:rsidRPr="00EC5031" w:rsidRDefault="003D7B90" w:rsidP="003D7B90">
      <w:pPr>
        <w:ind w:firstLine="708"/>
        <w:rPr>
          <w:rFonts w:asciiTheme="majorHAnsi" w:hAnsiTheme="majorHAnsi"/>
          <w:b/>
          <w:sz w:val="24"/>
          <w:szCs w:val="24"/>
        </w:rPr>
      </w:pPr>
      <w:r w:rsidRPr="00EC5031">
        <w:rPr>
          <w:rFonts w:asciiTheme="majorHAnsi" w:hAnsiTheme="majorHAnsi"/>
          <w:sz w:val="24"/>
          <w:szCs w:val="24"/>
        </w:rPr>
        <w:t xml:space="preserve">BC 900 000 Kč/QALY, 80 % iterací pod 4 HDP = </w:t>
      </w:r>
      <w:r w:rsidRPr="00EC5031">
        <w:rPr>
          <w:rFonts w:asciiTheme="majorHAnsi" w:hAnsiTheme="majorHAnsi"/>
          <w:b/>
          <w:sz w:val="24"/>
          <w:szCs w:val="24"/>
        </w:rPr>
        <w:t>2 body</w:t>
      </w:r>
    </w:p>
    <w:p w14:paraId="66EE2DC3" w14:textId="77777777" w:rsidR="003D7B90" w:rsidRPr="00EC5031" w:rsidRDefault="003D7B90" w:rsidP="003D7B90">
      <w:pPr>
        <w:ind w:firstLine="708"/>
        <w:rPr>
          <w:rFonts w:asciiTheme="majorHAnsi" w:hAnsiTheme="majorHAnsi"/>
          <w:sz w:val="24"/>
          <w:szCs w:val="24"/>
        </w:rPr>
      </w:pPr>
      <w:r w:rsidRPr="00EC5031">
        <w:rPr>
          <w:rFonts w:asciiTheme="majorHAnsi" w:hAnsiTheme="majorHAnsi"/>
          <w:sz w:val="24"/>
          <w:szCs w:val="24"/>
        </w:rPr>
        <w:t xml:space="preserve">BC 1 500 000 Kč/QALY = </w:t>
      </w:r>
      <w:r w:rsidRPr="00EC5031">
        <w:rPr>
          <w:rFonts w:asciiTheme="majorHAnsi" w:hAnsiTheme="majorHAnsi"/>
          <w:b/>
          <w:sz w:val="24"/>
          <w:szCs w:val="24"/>
        </w:rPr>
        <w:t>0 bodů</w:t>
      </w:r>
    </w:p>
    <w:p w14:paraId="5A5E8DB2" w14:textId="77777777" w:rsidR="003D7B90" w:rsidRPr="00EC5031" w:rsidRDefault="003D7B90" w:rsidP="003D7B90">
      <w:pPr>
        <w:ind w:firstLine="708"/>
        <w:rPr>
          <w:rFonts w:asciiTheme="majorHAnsi" w:hAnsiTheme="majorHAnsi"/>
          <w:b/>
          <w:sz w:val="24"/>
          <w:szCs w:val="24"/>
        </w:rPr>
      </w:pPr>
      <w:r w:rsidRPr="00EC5031">
        <w:rPr>
          <w:rFonts w:asciiTheme="majorHAnsi" w:hAnsiTheme="majorHAnsi"/>
          <w:sz w:val="24"/>
          <w:szCs w:val="24"/>
        </w:rPr>
        <w:lastRenderedPageBreak/>
        <w:t xml:space="preserve">BC 1 200 000 Kč/QALY, 50 % iterací pod 6 HDP = </w:t>
      </w:r>
      <w:r w:rsidRPr="00EC5031">
        <w:rPr>
          <w:rFonts w:asciiTheme="majorHAnsi" w:hAnsiTheme="majorHAnsi"/>
          <w:b/>
          <w:sz w:val="24"/>
          <w:szCs w:val="24"/>
        </w:rPr>
        <w:t>0 bodů</w:t>
      </w:r>
    </w:p>
    <w:p w14:paraId="786EC92A" w14:textId="77777777" w:rsidR="008D65FF" w:rsidRPr="00EC5031" w:rsidRDefault="00913A68" w:rsidP="00C01434">
      <w:pPr>
        <w:rPr>
          <w:rFonts w:asciiTheme="majorHAnsi" w:hAnsiTheme="majorHAnsi"/>
        </w:rPr>
      </w:pPr>
      <w:r w:rsidRPr="00EC5031">
        <w:rPr>
          <w:rFonts w:asciiTheme="majorHAnsi" w:hAnsiTheme="majorHAnsi"/>
        </w:rPr>
        <w:t>Pro stanovení hranice ceny za QALY lze použít průměrné HDP na osobu za poslední tři roky. To představuje určitou záruku v době prudkých změn ekonomiky. Nicméně v současné době, kdy ekonomika spíše stagnuje to praktický význam nemá.</w:t>
      </w:r>
      <w:r w:rsidR="00C01434" w:rsidRPr="00EC5031">
        <w:rPr>
          <w:rFonts w:asciiTheme="majorHAnsi" w:hAnsiTheme="majorHAnsi"/>
        </w:rPr>
        <w:t xml:space="preserve"> Data za poslední kvartál roku 2013 dosud nejsou dostupná. </w:t>
      </w:r>
    </w:p>
    <w:bookmarkStart w:id="2" w:name="_MON_1450514270"/>
    <w:bookmarkEnd w:id="2"/>
    <w:p w14:paraId="4D2858DA" w14:textId="77777777" w:rsidR="00913A68" w:rsidRPr="00EC5031" w:rsidRDefault="00913A68" w:rsidP="00913A68">
      <w:pPr>
        <w:ind w:firstLine="708"/>
        <w:rPr>
          <w:rFonts w:asciiTheme="majorHAnsi" w:hAnsiTheme="majorHAnsi"/>
          <w:color w:val="1F497D" w:themeColor="dark2"/>
        </w:rPr>
      </w:pPr>
      <w:r w:rsidRPr="00EC5031">
        <w:rPr>
          <w:rFonts w:asciiTheme="majorHAnsi" w:hAnsiTheme="majorHAnsi"/>
          <w:color w:val="1F497D" w:themeColor="dark2"/>
        </w:rPr>
        <w:object w:dxaOrig="9962" w:dyaOrig="3247" w14:anchorId="6DAE1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85pt;height:161.6pt" o:ole="">
            <v:imagedata r:id="rId16" o:title=""/>
          </v:shape>
          <o:OLEObject Type="Embed" ProgID="Excel.Sheet.12" ShapeID="_x0000_i1025" DrawAspect="Content" ObjectID="_1346838135" r:id="rId17"/>
        </w:object>
      </w:r>
    </w:p>
    <w:p w14:paraId="1FE58222" w14:textId="77777777" w:rsidR="00913A68" w:rsidRPr="00EC5031" w:rsidRDefault="00913A68" w:rsidP="00913A68">
      <w:pPr>
        <w:ind w:firstLine="708"/>
        <w:rPr>
          <w:rFonts w:asciiTheme="majorHAnsi" w:hAnsiTheme="majorHAnsi"/>
          <w:sz w:val="24"/>
          <w:szCs w:val="24"/>
        </w:rPr>
      </w:pPr>
    </w:p>
    <w:p w14:paraId="42BE0B26" w14:textId="77777777" w:rsidR="003D7B90" w:rsidRPr="00EC5031" w:rsidRDefault="008D65FF" w:rsidP="008D65FF">
      <w:pPr>
        <w:pStyle w:val="ListParagraph"/>
        <w:numPr>
          <w:ilvl w:val="0"/>
          <w:numId w:val="4"/>
        </w:numPr>
        <w:rPr>
          <w:rFonts w:asciiTheme="majorHAnsi" w:hAnsiTheme="majorHAnsi" w:cs="Segoe UI"/>
          <w:b/>
          <w:sz w:val="24"/>
          <w:szCs w:val="24"/>
        </w:rPr>
      </w:pPr>
      <w:r w:rsidRPr="00EC5031">
        <w:rPr>
          <w:rFonts w:asciiTheme="majorHAnsi" w:hAnsiTheme="majorHAnsi" w:cs="Segoe UI"/>
          <w:b/>
          <w:sz w:val="24"/>
          <w:szCs w:val="24"/>
        </w:rPr>
        <w:t>Unmet need</w:t>
      </w:r>
    </w:p>
    <w:p w14:paraId="0FBE7E82" w14:textId="77777777" w:rsidR="008D65FF" w:rsidRPr="00EC5031" w:rsidRDefault="008D65FF" w:rsidP="00B977C0">
      <w:pPr>
        <w:autoSpaceDE w:val="0"/>
        <w:autoSpaceDN w:val="0"/>
        <w:adjustRightInd w:val="0"/>
        <w:spacing w:after="0" w:line="240" w:lineRule="auto"/>
        <w:jc w:val="both"/>
        <w:rPr>
          <w:rFonts w:asciiTheme="majorHAnsi" w:hAnsiTheme="majorHAnsi" w:cs="Segoe UI"/>
          <w:sz w:val="24"/>
          <w:szCs w:val="24"/>
        </w:rPr>
      </w:pPr>
      <w:r w:rsidRPr="00EC5031">
        <w:rPr>
          <w:rFonts w:asciiTheme="majorHAnsi" w:hAnsiTheme="majorHAnsi" w:cs="Segoe UI"/>
          <w:sz w:val="24"/>
          <w:szCs w:val="24"/>
        </w:rPr>
        <w:t xml:space="preserve">EVIDEM </w:t>
      </w:r>
      <w:r w:rsidR="00FC6DBE" w:rsidRPr="00EC5031">
        <w:rPr>
          <w:rFonts w:asciiTheme="majorHAnsi" w:hAnsiTheme="majorHAnsi" w:cs="Segoe UI"/>
          <w:sz w:val="24"/>
          <w:szCs w:val="24"/>
        </w:rPr>
        <w:t>zahrnuje analogický termín</w:t>
      </w:r>
      <w:r w:rsidRPr="00EC5031">
        <w:rPr>
          <w:rFonts w:asciiTheme="majorHAnsi" w:hAnsiTheme="majorHAnsi" w:cs="Segoe UI"/>
          <w:sz w:val="24"/>
          <w:szCs w:val="24"/>
        </w:rPr>
        <w:t xml:space="preserve"> tzv. „Comparative </w:t>
      </w:r>
      <w:proofErr w:type="spellStart"/>
      <w:r w:rsidRPr="00EC5031">
        <w:rPr>
          <w:rFonts w:asciiTheme="majorHAnsi" w:hAnsiTheme="majorHAnsi" w:cs="Segoe UI"/>
          <w:sz w:val="24"/>
          <w:szCs w:val="24"/>
        </w:rPr>
        <w:t>interventions</w:t>
      </w:r>
      <w:proofErr w:type="spellEnd"/>
      <w:r w:rsidRPr="00EC5031">
        <w:rPr>
          <w:rFonts w:asciiTheme="majorHAnsi" w:hAnsiTheme="majorHAnsi" w:cs="Segoe UI"/>
          <w:sz w:val="24"/>
          <w:szCs w:val="24"/>
        </w:rPr>
        <w:t xml:space="preserve"> </w:t>
      </w:r>
      <w:proofErr w:type="spellStart"/>
      <w:r w:rsidRPr="00EC5031">
        <w:rPr>
          <w:rFonts w:asciiTheme="majorHAnsi" w:hAnsiTheme="majorHAnsi" w:cs="Segoe UI"/>
          <w:sz w:val="24"/>
          <w:szCs w:val="24"/>
        </w:rPr>
        <w:t>limitations</w:t>
      </w:r>
      <w:proofErr w:type="spellEnd"/>
      <w:r w:rsidRPr="00EC5031">
        <w:rPr>
          <w:rFonts w:asciiTheme="majorHAnsi" w:hAnsiTheme="majorHAnsi" w:cs="Segoe UI"/>
          <w:sz w:val="24"/>
          <w:szCs w:val="24"/>
        </w:rPr>
        <w:t xml:space="preserve">“, které definuje jako </w:t>
      </w:r>
      <w:r w:rsidR="00AB199E" w:rsidRPr="00EC5031">
        <w:rPr>
          <w:rFonts w:asciiTheme="majorHAnsi" w:hAnsiTheme="majorHAnsi" w:cs="Segoe UI"/>
          <w:sz w:val="24"/>
          <w:szCs w:val="24"/>
        </w:rPr>
        <w:t>nedostatky komparátorů ve schopnostech prevence, vyléčení či zlepšení stavu pacienta. Zahrnuje nejen parametr účinnosti, ale také bezpečnost</w:t>
      </w:r>
      <w:r w:rsidR="00AD1993" w:rsidRPr="00EC5031">
        <w:rPr>
          <w:rFonts w:asciiTheme="majorHAnsi" w:hAnsiTheme="majorHAnsi" w:cs="Segoe UI"/>
          <w:sz w:val="24"/>
          <w:szCs w:val="24"/>
        </w:rPr>
        <w:t xml:space="preserve"> a </w:t>
      </w:r>
      <w:r w:rsidR="00892AE7" w:rsidRPr="00EC5031">
        <w:rPr>
          <w:rFonts w:asciiTheme="majorHAnsi" w:hAnsiTheme="majorHAnsi" w:cs="Segoe UI"/>
          <w:sz w:val="24"/>
          <w:szCs w:val="24"/>
        </w:rPr>
        <w:t>„</w:t>
      </w:r>
      <w:proofErr w:type="spellStart"/>
      <w:r w:rsidR="00AB199E" w:rsidRPr="00EC5031">
        <w:rPr>
          <w:rFonts w:asciiTheme="majorHAnsi" w:hAnsiTheme="majorHAnsi" w:cs="Segoe UI"/>
          <w:sz w:val="24"/>
          <w:szCs w:val="24"/>
        </w:rPr>
        <w:t>Patient</w:t>
      </w:r>
      <w:proofErr w:type="spellEnd"/>
      <w:r w:rsidR="00AB199E" w:rsidRPr="00EC5031">
        <w:rPr>
          <w:rFonts w:asciiTheme="majorHAnsi" w:hAnsiTheme="majorHAnsi" w:cs="Segoe UI"/>
          <w:sz w:val="24"/>
          <w:szCs w:val="24"/>
        </w:rPr>
        <w:t xml:space="preserve"> </w:t>
      </w:r>
      <w:proofErr w:type="spellStart"/>
      <w:r w:rsidR="00AB199E" w:rsidRPr="00EC5031">
        <w:rPr>
          <w:rFonts w:asciiTheme="majorHAnsi" w:hAnsiTheme="majorHAnsi" w:cs="Segoe UI"/>
          <w:sz w:val="24"/>
          <w:szCs w:val="24"/>
        </w:rPr>
        <w:t>Reported</w:t>
      </w:r>
      <w:proofErr w:type="spellEnd"/>
      <w:r w:rsidR="00AB199E" w:rsidRPr="00EC5031">
        <w:rPr>
          <w:rFonts w:asciiTheme="majorHAnsi" w:hAnsiTheme="majorHAnsi" w:cs="Segoe UI"/>
          <w:sz w:val="24"/>
          <w:szCs w:val="24"/>
        </w:rPr>
        <w:t xml:space="preserve"> Outcome</w:t>
      </w:r>
      <w:r w:rsidR="00AD1993" w:rsidRPr="00EC5031">
        <w:rPr>
          <w:rFonts w:asciiTheme="majorHAnsi" w:hAnsiTheme="majorHAnsi" w:cs="Segoe UI"/>
          <w:sz w:val="24"/>
          <w:szCs w:val="24"/>
        </w:rPr>
        <w:t>s</w:t>
      </w:r>
      <w:r w:rsidR="00892AE7" w:rsidRPr="00EC5031">
        <w:rPr>
          <w:rFonts w:asciiTheme="majorHAnsi" w:hAnsiTheme="majorHAnsi" w:cs="Segoe UI"/>
          <w:sz w:val="24"/>
          <w:szCs w:val="24"/>
        </w:rPr>
        <w:t>“</w:t>
      </w:r>
      <w:r w:rsidR="00AD1993" w:rsidRPr="00EC5031">
        <w:rPr>
          <w:rFonts w:asciiTheme="majorHAnsi" w:hAnsiTheme="majorHAnsi" w:cs="Segoe UI"/>
          <w:sz w:val="24"/>
          <w:szCs w:val="24"/>
        </w:rPr>
        <w:t>.</w:t>
      </w:r>
      <w:r w:rsidR="00346427" w:rsidRPr="00EC5031">
        <w:rPr>
          <w:rFonts w:asciiTheme="majorHAnsi" w:hAnsiTheme="majorHAnsi" w:cs="Segoe UI"/>
          <w:sz w:val="24"/>
          <w:szCs w:val="24"/>
        </w:rPr>
        <w:t xml:space="preserve"> </w:t>
      </w:r>
    </w:p>
    <w:p w14:paraId="1A080291" w14:textId="77777777" w:rsidR="00AD1993" w:rsidRPr="00EC5031" w:rsidRDefault="00AD1993" w:rsidP="00B977C0">
      <w:pPr>
        <w:autoSpaceDE w:val="0"/>
        <w:autoSpaceDN w:val="0"/>
        <w:adjustRightInd w:val="0"/>
        <w:spacing w:after="0" w:line="240" w:lineRule="auto"/>
        <w:jc w:val="both"/>
        <w:rPr>
          <w:rFonts w:asciiTheme="majorHAnsi" w:hAnsiTheme="majorHAnsi" w:cs="Segoe UI"/>
          <w:sz w:val="24"/>
          <w:szCs w:val="24"/>
        </w:rPr>
      </w:pPr>
    </w:p>
    <w:p w14:paraId="40573723" w14:textId="77777777" w:rsidR="00AD1993" w:rsidRPr="00EC5031" w:rsidRDefault="00892AE7" w:rsidP="00B977C0">
      <w:pPr>
        <w:autoSpaceDE w:val="0"/>
        <w:autoSpaceDN w:val="0"/>
        <w:adjustRightInd w:val="0"/>
        <w:spacing w:after="0" w:line="240" w:lineRule="auto"/>
        <w:jc w:val="both"/>
        <w:rPr>
          <w:rFonts w:asciiTheme="majorHAnsi" w:hAnsiTheme="majorHAnsi" w:cs="Segoe UI"/>
          <w:sz w:val="24"/>
          <w:szCs w:val="24"/>
        </w:rPr>
      </w:pPr>
      <w:r w:rsidRPr="00EC5031">
        <w:rPr>
          <w:rFonts w:asciiTheme="majorHAnsi" w:hAnsiTheme="majorHAnsi" w:cs="Segoe UI"/>
          <w:sz w:val="24"/>
          <w:szCs w:val="24"/>
        </w:rPr>
        <w:t>Technologie</w:t>
      </w:r>
      <w:r w:rsidR="00AD1993" w:rsidRPr="00EC5031">
        <w:rPr>
          <w:rFonts w:asciiTheme="majorHAnsi" w:hAnsiTheme="majorHAnsi" w:cs="Segoe UI"/>
          <w:sz w:val="24"/>
          <w:szCs w:val="24"/>
        </w:rPr>
        <w:t xml:space="preserve">, které jsou zaměřeny na choroby, pro které neexistují alternativní </w:t>
      </w:r>
      <w:r w:rsidRPr="00EC5031">
        <w:rPr>
          <w:rFonts w:asciiTheme="majorHAnsi" w:hAnsiTheme="majorHAnsi" w:cs="Segoe UI"/>
          <w:sz w:val="24"/>
          <w:szCs w:val="24"/>
        </w:rPr>
        <w:t xml:space="preserve">technologie </w:t>
      </w:r>
      <w:r w:rsidR="00AD1993" w:rsidRPr="00EC5031">
        <w:rPr>
          <w:rFonts w:asciiTheme="majorHAnsi" w:hAnsiTheme="majorHAnsi" w:cs="Segoe UI"/>
          <w:sz w:val="24"/>
          <w:szCs w:val="24"/>
        </w:rPr>
        <w:t xml:space="preserve">nebo kde stávající alternativní </w:t>
      </w:r>
      <w:r w:rsidRPr="00EC5031">
        <w:rPr>
          <w:rFonts w:asciiTheme="majorHAnsi" w:hAnsiTheme="majorHAnsi" w:cs="Segoe UI"/>
          <w:sz w:val="24"/>
          <w:szCs w:val="24"/>
        </w:rPr>
        <w:t xml:space="preserve">technologie </w:t>
      </w:r>
      <w:r w:rsidR="00AD1993" w:rsidRPr="00EC5031">
        <w:rPr>
          <w:rFonts w:asciiTheme="majorHAnsi" w:hAnsiTheme="majorHAnsi" w:cs="Segoe UI"/>
          <w:sz w:val="24"/>
          <w:szCs w:val="24"/>
        </w:rPr>
        <w:t xml:space="preserve">jsou významně limitovány (např. nedostatečná účinnost, vysoká nesnášenlivost) </w:t>
      </w:r>
      <w:r w:rsidR="00CF101C" w:rsidRPr="00EC5031">
        <w:rPr>
          <w:rFonts w:asciiTheme="majorHAnsi" w:hAnsiTheme="majorHAnsi" w:cs="Segoe UI"/>
          <w:sz w:val="24"/>
          <w:szCs w:val="24"/>
        </w:rPr>
        <w:t xml:space="preserve">mají vyšší hodnotu </w:t>
      </w:r>
      <w:r w:rsidR="00346427" w:rsidRPr="00EC5031">
        <w:rPr>
          <w:rFonts w:asciiTheme="majorHAnsi" w:hAnsiTheme="majorHAnsi" w:cs="Segoe UI"/>
          <w:sz w:val="24"/>
          <w:szCs w:val="24"/>
        </w:rPr>
        <w:t xml:space="preserve">než </w:t>
      </w:r>
      <w:r w:rsidRPr="00EC5031">
        <w:rPr>
          <w:rFonts w:asciiTheme="majorHAnsi" w:hAnsiTheme="majorHAnsi" w:cs="Segoe UI"/>
          <w:sz w:val="24"/>
          <w:szCs w:val="24"/>
        </w:rPr>
        <w:t>terapie, pro</w:t>
      </w:r>
      <w:r w:rsidR="00AD1993" w:rsidRPr="00EC5031">
        <w:rPr>
          <w:rFonts w:asciiTheme="majorHAnsi" w:hAnsiTheme="majorHAnsi" w:cs="Segoe UI"/>
          <w:sz w:val="24"/>
          <w:szCs w:val="24"/>
        </w:rPr>
        <w:t xml:space="preserve"> něž alternativní léčba nemá žádné či pouze mírné limitace.</w:t>
      </w:r>
      <w:r w:rsidR="00346427" w:rsidRPr="00EC5031">
        <w:rPr>
          <w:rFonts w:asciiTheme="majorHAnsi" w:hAnsiTheme="majorHAnsi" w:cs="Segoe UI"/>
          <w:sz w:val="24"/>
          <w:szCs w:val="24"/>
        </w:rPr>
        <w:t xml:space="preserve">  </w:t>
      </w:r>
      <w:r w:rsidR="00FC6DBE" w:rsidRPr="00EC5031">
        <w:rPr>
          <w:rFonts w:asciiTheme="majorHAnsi" w:hAnsiTheme="majorHAnsi" w:cs="Segoe UI"/>
          <w:sz w:val="24"/>
          <w:szCs w:val="24"/>
        </w:rPr>
        <w:t xml:space="preserve">Při hodnocení je </w:t>
      </w:r>
      <w:r w:rsidR="00346427" w:rsidRPr="00EC5031">
        <w:rPr>
          <w:rFonts w:asciiTheme="majorHAnsi" w:hAnsiTheme="majorHAnsi" w:cs="Segoe UI"/>
          <w:sz w:val="24"/>
          <w:szCs w:val="24"/>
        </w:rPr>
        <w:t xml:space="preserve">zapotřebí striktně odlišit hodnocení </w:t>
      </w:r>
      <w:r w:rsidR="00CF101C" w:rsidRPr="00EC5031">
        <w:rPr>
          <w:rFonts w:asciiTheme="majorHAnsi" w:hAnsiTheme="majorHAnsi" w:cs="Segoe UI"/>
          <w:sz w:val="24"/>
          <w:szCs w:val="24"/>
        </w:rPr>
        <w:t xml:space="preserve">parametrů </w:t>
      </w:r>
      <w:r w:rsidR="00346427" w:rsidRPr="00EC5031">
        <w:rPr>
          <w:rFonts w:asciiTheme="majorHAnsi" w:hAnsiTheme="majorHAnsi" w:cs="Segoe UI"/>
          <w:sz w:val="24"/>
          <w:szCs w:val="24"/>
        </w:rPr>
        <w:t>bezpečnosti a ú</w:t>
      </w:r>
      <w:r w:rsidR="004B0842" w:rsidRPr="00EC5031">
        <w:rPr>
          <w:rFonts w:asciiTheme="majorHAnsi" w:hAnsiTheme="majorHAnsi" w:cs="Segoe UI"/>
          <w:sz w:val="24"/>
          <w:szCs w:val="24"/>
        </w:rPr>
        <w:t>činnosti</w:t>
      </w:r>
      <w:r w:rsidR="00FC6DBE" w:rsidRPr="00EC5031">
        <w:rPr>
          <w:rFonts w:asciiTheme="majorHAnsi" w:hAnsiTheme="majorHAnsi" w:cs="Segoe UI"/>
          <w:sz w:val="24"/>
          <w:szCs w:val="24"/>
        </w:rPr>
        <w:t xml:space="preserve"> (viz </w:t>
      </w:r>
      <w:r w:rsidR="004B0842" w:rsidRPr="00EC5031">
        <w:rPr>
          <w:rFonts w:asciiTheme="majorHAnsi" w:hAnsiTheme="majorHAnsi" w:cs="Segoe UI"/>
          <w:sz w:val="24"/>
          <w:szCs w:val="24"/>
        </w:rPr>
        <w:t xml:space="preserve">samostatné </w:t>
      </w:r>
      <w:r w:rsidR="00FC6DBE" w:rsidRPr="00EC5031">
        <w:rPr>
          <w:rFonts w:asciiTheme="majorHAnsi" w:hAnsiTheme="majorHAnsi" w:cs="Segoe UI"/>
          <w:sz w:val="24"/>
          <w:szCs w:val="24"/>
        </w:rPr>
        <w:t>parametry výše) od hodnocení unmet need, kdy se hodnotí daná terapeutická oblast.</w:t>
      </w:r>
    </w:p>
    <w:p w14:paraId="6CEB17F9" w14:textId="77777777" w:rsidR="00346427" w:rsidRPr="00EC5031" w:rsidRDefault="00346427" w:rsidP="00AD1993">
      <w:pPr>
        <w:autoSpaceDE w:val="0"/>
        <w:autoSpaceDN w:val="0"/>
        <w:adjustRightInd w:val="0"/>
        <w:spacing w:after="0" w:line="240" w:lineRule="auto"/>
        <w:rPr>
          <w:rFonts w:asciiTheme="majorHAnsi" w:hAnsiTheme="majorHAnsi" w:cs="Segoe UI"/>
          <w:sz w:val="24"/>
          <w:szCs w:val="24"/>
        </w:rPr>
      </w:pPr>
    </w:p>
    <w:p w14:paraId="120398A1" w14:textId="77777777" w:rsidR="00346427" w:rsidRPr="00EC5031" w:rsidRDefault="00346427" w:rsidP="00B977C0">
      <w:pPr>
        <w:autoSpaceDE w:val="0"/>
        <w:autoSpaceDN w:val="0"/>
        <w:adjustRightInd w:val="0"/>
        <w:spacing w:after="0" w:line="240" w:lineRule="auto"/>
        <w:jc w:val="both"/>
        <w:rPr>
          <w:rFonts w:asciiTheme="majorHAnsi" w:hAnsiTheme="majorHAnsi" w:cs="Segoe UI"/>
          <w:sz w:val="24"/>
          <w:szCs w:val="24"/>
        </w:rPr>
      </w:pPr>
      <w:r w:rsidRPr="00EC5031">
        <w:rPr>
          <w:rFonts w:asciiTheme="majorHAnsi" w:hAnsiTheme="majorHAnsi" w:cs="Segoe UI"/>
          <w:sz w:val="24"/>
          <w:szCs w:val="24"/>
        </w:rPr>
        <w:t>Odborná lékařská společnost (zástupci ČLS JEP) může na základě zkušeností z klinické praxe stanovit unmet need v dané oblasti</w:t>
      </w:r>
      <w:r w:rsidR="00FC6DBE" w:rsidRPr="00EC5031">
        <w:rPr>
          <w:rFonts w:asciiTheme="majorHAnsi" w:hAnsiTheme="majorHAnsi" w:cs="Segoe UI"/>
          <w:sz w:val="24"/>
          <w:szCs w:val="24"/>
        </w:rPr>
        <w:t xml:space="preserve"> lépe než další členové HTA hodnocení, kteří nemají přímý kontakt s pacientem</w:t>
      </w:r>
      <w:r w:rsidRPr="00EC5031">
        <w:rPr>
          <w:rFonts w:asciiTheme="majorHAnsi" w:hAnsiTheme="majorHAnsi" w:cs="Segoe UI"/>
          <w:sz w:val="24"/>
          <w:szCs w:val="24"/>
        </w:rPr>
        <w:t xml:space="preserve">. </w:t>
      </w:r>
      <w:r w:rsidR="00FC6DBE" w:rsidRPr="00EC5031">
        <w:rPr>
          <w:rFonts w:asciiTheme="majorHAnsi" w:hAnsiTheme="majorHAnsi" w:cs="Segoe UI"/>
          <w:sz w:val="24"/>
          <w:szCs w:val="24"/>
        </w:rPr>
        <w:t>Stanovení unmet need</w:t>
      </w:r>
      <w:r w:rsidRPr="00EC5031">
        <w:rPr>
          <w:rFonts w:asciiTheme="majorHAnsi" w:hAnsiTheme="majorHAnsi" w:cs="Segoe UI"/>
          <w:sz w:val="24"/>
          <w:szCs w:val="24"/>
        </w:rPr>
        <w:t xml:space="preserve"> by </w:t>
      </w:r>
      <w:r w:rsidR="00FC6DBE" w:rsidRPr="00EC5031">
        <w:rPr>
          <w:rFonts w:asciiTheme="majorHAnsi" w:hAnsiTheme="majorHAnsi" w:cs="Segoe UI"/>
          <w:sz w:val="24"/>
          <w:szCs w:val="24"/>
        </w:rPr>
        <w:t>mělo být koordinováno</w:t>
      </w:r>
      <w:r w:rsidRPr="00EC5031">
        <w:rPr>
          <w:rFonts w:asciiTheme="majorHAnsi" w:hAnsiTheme="majorHAnsi" w:cs="Segoe UI"/>
          <w:sz w:val="24"/>
          <w:szCs w:val="24"/>
        </w:rPr>
        <w:t xml:space="preserve"> </w:t>
      </w:r>
      <w:r w:rsidR="00FC6DBE" w:rsidRPr="00EC5031">
        <w:rPr>
          <w:rFonts w:asciiTheme="majorHAnsi" w:hAnsiTheme="majorHAnsi" w:cs="Segoe UI"/>
          <w:sz w:val="24"/>
          <w:szCs w:val="24"/>
        </w:rPr>
        <w:t>zástupcem ČLS JEP</w:t>
      </w:r>
      <w:r w:rsidRPr="00EC5031">
        <w:rPr>
          <w:rFonts w:asciiTheme="majorHAnsi" w:hAnsiTheme="majorHAnsi" w:cs="Segoe UI"/>
          <w:sz w:val="24"/>
          <w:szCs w:val="24"/>
        </w:rPr>
        <w:t xml:space="preserve">, aby se předešlo nejasnostem při stanovení unmet need pomocí </w:t>
      </w:r>
      <w:r w:rsidR="00FC6DBE" w:rsidRPr="00EC5031">
        <w:rPr>
          <w:rFonts w:asciiTheme="majorHAnsi" w:hAnsiTheme="majorHAnsi" w:cs="Segoe UI"/>
          <w:sz w:val="24"/>
          <w:szCs w:val="24"/>
        </w:rPr>
        <w:t>různých odborníků pro mnoho</w:t>
      </w:r>
      <w:r w:rsidRPr="00EC5031">
        <w:rPr>
          <w:rFonts w:asciiTheme="majorHAnsi" w:hAnsiTheme="majorHAnsi" w:cs="Segoe UI"/>
          <w:sz w:val="24"/>
          <w:szCs w:val="24"/>
        </w:rPr>
        <w:t xml:space="preserve"> </w:t>
      </w:r>
      <w:r w:rsidR="00FC6DBE" w:rsidRPr="00EC5031">
        <w:rPr>
          <w:rFonts w:asciiTheme="majorHAnsi" w:hAnsiTheme="majorHAnsi" w:cs="Segoe UI"/>
          <w:sz w:val="24"/>
          <w:szCs w:val="24"/>
        </w:rPr>
        <w:t>terapeutických oblastí</w:t>
      </w:r>
      <w:r w:rsidRPr="00EC5031">
        <w:rPr>
          <w:rFonts w:asciiTheme="majorHAnsi" w:hAnsiTheme="majorHAnsi" w:cs="Segoe UI"/>
          <w:sz w:val="24"/>
          <w:szCs w:val="24"/>
        </w:rPr>
        <w:t xml:space="preserve">. </w:t>
      </w:r>
      <w:r w:rsidR="00FC6DBE" w:rsidRPr="00EC5031">
        <w:rPr>
          <w:rFonts w:asciiTheme="majorHAnsi" w:hAnsiTheme="majorHAnsi" w:cs="Segoe UI"/>
          <w:sz w:val="24"/>
          <w:szCs w:val="24"/>
        </w:rPr>
        <w:t>Jistá centralizace a jednotný přístup se</w:t>
      </w:r>
      <w:r w:rsidRPr="00EC5031">
        <w:rPr>
          <w:rFonts w:asciiTheme="majorHAnsi" w:hAnsiTheme="majorHAnsi" w:cs="Segoe UI"/>
          <w:sz w:val="24"/>
          <w:szCs w:val="24"/>
        </w:rPr>
        <w:t xml:space="preserve"> základní znalost</w:t>
      </w:r>
      <w:r w:rsidR="00FC6DBE" w:rsidRPr="00EC5031">
        <w:rPr>
          <w:rFonts w:asciiTheme="majorHAnsi" w:hAnsiTheme="majorHAnsi" w:cs="Segoe UI"/>
          <w:sz w:val="24"/>
          <w:szCs w:val="24"/>
        </w:rPr>
        <w:t>í</w:t>
      </w:r>
      <w:r w:rsidRPr="00EC5031">
        <w:rPr>
          <w:rFonts w:asciiTheme="majorHAnsi" w:hAnsiTheme="majorHAnsi" w:cs="Segoe UI"/>
          <w:sz w:val="24"/>
          <w:szCs w:val="24"/>
        </w:rPr>
        <w:t xml:space="preserve"> principů HTA</w:t>
      </w:r>
      <w:r w:rsidR="004B0842" w:rsidRPr="00EC5031">
        <w:rPr>
          <w:rFonts w:asciiTheme="majorHAnsi" w:hAnsiTheme="majorHAnsi" w:cs="Segoe UI"/>
          <w:sz w:val="24"/>
          <w:szCs w:val="24"/>
        </w:rPr>
        <w:t xml:space="preserve"> se jeví jako výhodou při sumarizaci názorů různých odborníků použitých jako vstupy do hodnocení unmet need. </w:t>
      </w:r>
    </w:p>
    <w:p w14:paraId="2F0324FE" w14:textId="77777777" w:rsidR="000365C1" w:rsidRPr="00EC5031" w:rsidRDefault="000365C1" w:rsidP="00AD1993">
      <w:pPr>
        <w:autoSpaceDE w:val="0"/>
        <w:autoSpaceDN w:val="0"/>
        <w:adjustRightInd w:val="0"/>
        <w:spacing w:after="0" w:line="240" w:lineRule="auto"/>
        <w:rPr>
          <w:rFonts w:asciiTheme="majorHAnsi" w:hAnsiTheme="majorHAnsi" w:cs="Segoe UI"/>
          <w:sz w:val="24"/>
          <w:szCs w:val="24"/>
        </w:rPr>
      </w:pPr>
    </w:p>
    <w:p w14:paraId="26AEE936" w14:textId="77777777" w:rsidR="000365C1" w:rsidRPr="00EC5031" w:rsidRDefault="000365C1" w:rsidP="00FC6DBE">
      <w:pPr>
        <w:rPr>
          <w:rFonts w:asciiTheme="majorHAnsi" w:hAnsiTheme="majorHAnsi" w:cs="Segoe UI"/>
          <w:sz w:val="20"/>
        </w:rPr>
      </w:pPr>
      <w:r w:rsidRPr="00EC5031">
        <w:rPr>
          <w:rFonts w:asciiTheme="majorHAnsi" w:hAnsiTheme="majorHAnsi"/>
          <w:b/>
          <w:sz w:val="24"/>
          <w:szCs w:val="24"/>
        </w:rPr>
        <w:t>Návrh skóre:</w:t>
      </w:r>
    </w:p>
    <w:p w14:paraId="1F35744B" w14:textId="77777777" w:rsidR="000365C1" w:rsidRPr="00EC5031" w:rsidRDefault="000365C1" w:rsidP="00FC6DBE">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0: Žádné nebo jen velmi malé limitace stávající léčby</w:t>
      </w:r>
    </w:p>
    <w:p w14:paraId="60BB1326" w14:textId="77777777" w:rsidR="000365C1" w:rsidRPr="00EC5031" w:rsidRDefault="00C01434" w:rsidP="00FC6DBE">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1: Malé limitace</w:t>
      </w:r>
      <w:r w:rsidR="000365C1" w:rsidRPr="00EC5031">
        <w:rPr>
          <w:rFonts w:asciiTheme="majorHAnsi" w:eastAsia="Times New Roman" w:hAnsiTheme="majorHAnsi" w:cs="Times New Roman"/>
          <w:i/>
          <w:iCs/>
          <w:color w:val="000000"/>
          <w:sz w:val="24"/>
          <w:szCs w:val="24"/>
          <w:lang w:eastAsia="cs-CZ"/>
        </w:rPr>
        <w:t xml:space="preserve"> (např. mírný dopad na kvalitu života)</w:t>
      </w:r>
    </w:p>
    <w:p w14:paraId="03DA7199" w14:textId="77777777" w:rsidR="000365C1" w:rsidRPr="00EC5031" w:rsidRDefault="00C01434" w:rsidP="00FC6DBE">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t>2: Střední limitace</w:t>
      </w:r>
      <w:r w:rsidR="000365C1" w:rsidRPr="00EC5031">
        <w:rPr>
          <w:rFonts w:asciiTheme="majorHAnsi" w:eastAsia="Times New Roman" w:hAnsiTheme="majorHAnsi" w:cs="Times New Roman"/>
          <w:i/>
          <w:iCs/>
          <w:color w:val="000000"/>
          <w:sz w:val="24"/>
          <w:szCs w:val="24"/>
          <w:lang w:eastAsia="cs-CZ"/>
        </w:rPr>
        <w:t xml:space="preserve"> (např. středně závažné nežádoucí účinky)</w:t>
      </w:r>
    </w:p>
    <w:p w14:paraId="6E44B76C" w14:textId="77777777" w:rsidR="000365C1" w:rsidRPr="00EC5031" w:rsidRDefault="000365C1" w:rsidP="00FC6DBE">
      <w:pPr>
        <w:spacing w:after="0" w:line="240" w:lineRule="auto"/>
        <w:rPr>
          <w:rFonts w:asciiTheme="majorHAnsi" w:eastAsia="Times New Roman" w:hAnsiTheme="majorHAnsi" w:cs="Times New Roman"/>
          <w:i/>
          <w:iCs/>
          <w:color w:val="000000"/>
          <w:sz w:val="24"/>
          <w:szCs w:val="24"/>
          <w:lang w:eastAsia="cs-CZ"/>
        </w:rPr>
      </w:pPr>
      <w:r w:rsidRPr="00EC5031">
        <w:rPr>
          <w:rFonts w:asciiTheme="majorHAnsi" w:eastAsia="Times New Roman" w:hAnsiTheme="majorHAnsi" w:cs="Times New Roman"/>
          <w:i/>
          <w:iCs/>
          <w:color w:val="000000"/>
          <w:sz w:val="24"/>
          <w:szCs w:val="24"/>
          <w:lang w:eastAsia="cs-CZ"/>
        </w:rPr>
        <w:lastRenderedPageBreak/>
        <w:t>3: Výrazné limitace (např. omezená účinnost, či účinnost u limitované skupiny pacientů, výrazné nežádoucí účinky stávající léčby)</w:t>
      </w:r>
    </w:p>
    <w:p w14:paraId="5D3D96F4" w14:textId="77777777" w:rsidR="00346427" w:rsidRPr="00EC5031" w:rsidRDefault="00346427" w:rsidP="00AD1993">
      <w:pPr>
        <w:autoSpaceDE w:val="0"/>
        <w:autoSpaceDN w:val="0"/>
        <w:adjustRightInd w:val="0"/>
        <w:spacing w:after="0" w:line="240" w:lineRule="auto"/>
        <w:rPr>
          <w:rFonts w:asciiTheme="majorHAnsi" w:hAnsiTheme="majorHAnsi" w:cs="Segoe UI"/>
          <w:sz w:val="20"/>
        </w:rPr>
      </w:pPr>
    </w:p>
    <w:p w14:paraId="1ED4FE10" w14:textId="77777777" w:rsidR="004B0842" w:rsidRPr="00EC5031" w:rsidRDefault="000365C1" w:rsidP="00B977C0">
      <w:pPr>
        <w:autoSpaceDE w:val="0"/>
        <w:autoSpaceDN w:val="0"/>
        <w:adjustRightInd w:val="0"/>
        <w:spacing w:after="0" w:line="240" w:lineRule="auto"/>
        <w:jc w:val="both"/>
        <w:rPr>
          <w:rFonts w:asciiTheme="majorHAnsi" w:hAnsiTheme="majorHAnsi" w:cs="Segoe UI"/>
          <w:sz w:val="24"/>
          <w:szCs w:val="24"/>
        </w:rPr>
      </w:pPr>
      <w:r w:rsidRPr="00EC5031">
        <w:rPr>
          <w:rFonts w:asciiTheme="majorHAnsi" w:hAnsiTheme="majorHAnsi" w:cs="Segoe UI"/>
          <w:sz w:val="24"/>
          <w:szCs w:val="24"/>
        </w:rPr>
        <w:t xml:space="preserve">Hodnocení unmet need je značně subjektivní a kvantifikace je velmi obtížná. V rámci naší skupiny to byl nejdiskutovanější parametr. </w:t>
      </w:r>
    </w:p>
    <w:p w14:paraId="6C23631B" w14:textId="77777777" w:rsidR="004B0842" w:rsidRPr="00EC5031" w:rsidRDefault="004B0842" w:rsidP="00B977C0">
      <w:pPr>
        <w:autoSpaceDE w:val="0"/>
        <w:autoSpaceDN w:val="0"/>
        <w:adjustRightInd w:val="0"/>
        <w:spacing w:after="0" w:line="240" w:lineRule="auto"/>
        <w:jc w:val="both"/>
        <w:rPr>
          <w:rFonts w:asciiTheme="majorHAnsi" w:hAnsiTheme="majorHAnsi" w:cs="Segoe UI"/>
          <w:sz w:val="24"/>
          <w:szCs w:val="24"/>
        </w:rPr>
      </w:pPr>
    </w:p>
    <w:p w14:paraId="249E04F6" w14:textId="77777777" w:rsidR="004B0842" w:rsidRPr="00EC5031" w:rsidRDefault="004B0842" w:rsidP="00B977C0">
      <w:pPr>
        <w:autoSpaceDE w:val="0"/>
        <w:autoSpaceDN w:val="0"/>
        <w:adjustRightInd w:val="0"/>
        <w:spacing w:after="0" w:line="240" w:lineRule="auto"/>
        <w:jc w:val="both"/>
        <w:rPr>
          <w:rFonts w:asciiTheme="majorHAnsi" w:hAnsiTheme="majorHAnsi" w:cs="Segoe UI"/>
          <w:sz w:val="24"/>
          <w:szCs w:val="24"/>
        </w:rPr>
      </w:pPr>
    </w:p>
    <w:p w14:paraId="5D311879" w14:textId="77777777" w:rsidR="00FC6DBE" w:rsidRPr="00EC5031" w:rsidRDefault="00FC6DBE" w:rsidP="00B977C0">
      <w:pPr>
        <w:autoSpaceDE w:val="0"/>
        <w:autoSpaceDN w:val="0"/>
        <w:adjustRightInd w:val="0"/>
        <w:spacing w:after="0" w:line="240" w:lineRule="auto"/>
        <w:jc w:val="both"/>
        <w:rPr>
          <w:rFonts w:asciiTheme="majorHAnsi" w:hAnsiTheme="majorHAnsi" w:cs="Segoe UI"/>
          <w:sz w:val="24"/>
          <w:szCs w:val="24"/>
        </w:rPr>
      </w:pPr>
    </w:p>
    <w:p w14:paraId="3F84C242" w14:textId="295998B4" w:rsidR="00FC6DBE" w:rsidRPr="00400C00" w:rsidRDefault="00400C00" w:rsidP="00400C00">
      <w:pPr>
        <w:autoSpaceDE w:val="0"/>
        <w:autoSpaceDN w:val="0"/>
        <w:adjustRightInd w:val="0"/>
        <w:spacing w:after="0" w:line="240" w:lineRule="auto"/>
        <w:ind w:left="360"/>
        <w:rPr>
          <w:rFonts w:asciiTheme="majorHAnsi" w:hAnsiTheme="majorHAnsi" w:cs="Segoe UI"/>
          <w:b/>
          <w:sz w:val="24"/>
          <w:szCs w:val="24"/>
          <w:u w:val="single"/>
        </w:rPr>
      </w:pPr>
      <w:r w:rsidRPr="00400C00">
        <w:rPr>
          <w:rFonts w:asciiTheme="majorHAnsi" w:hAnsiTheme="majorHAnsi" w:cs="Segoe UI"/>
          <w:b/>
          <w:sz w:val="24"/>
          <w:szCs w:val="24"/>
          <w:u w:val="single"/>
        </w:rPr>
        <w:t xml:space="preserve">2.4. </w:t>
      </w:r>
      <w:r w:rsidR="00FC6DBE" w:rsidRPr="00400C00">
        <w:rPr>
          <w:rFonts w:asciiTheme="majorHAnsi" w:hAnsiTheme="majorHAnsi" w:cs="Segoe UI"/>
          <w:b/>
          <w:sz w:val="24"/>
          <w:szCs w:val="24"/>
          <w:u w:val="single"/>
        </w:rPr>
        <w:t>Závěr:</w:t>
      </w:r>
    </w:p>
    <w:p w14:paraId="631D31D2" w14:textId="77777777" w:rsidR="001A55AE" w:rsidRPr="00EC5031" w:rsidRDefault="001A55AE" w:rsidP="006A6BD8">
      <w:pPr>
        <w:autoSpaceDE w:val="0"/>
        <w:autoSpaceDN w:val="0"/>
        <w:adjustRightInd w:val="0"/>
        <w:spacing w:after="0" w:line="240" w:lineRule="auto"/>
        <w:jc w:val="both"/>
        <w:rPr>
          <w:rFonts w:asciiTheme="majorHAnsi" w:hAnsiTheme="majorHAnsi" w:cs="Segoe UI"/>
          <w:b/>
          <w:sz w:val="24"/>
          <w:szCs w:val="24"/>
        </w:rPr>
      </w:pPr>
    </w:p>
    <w:p w14:paraId="720D28F1" w14:textId="77777777" w:rsidR="006A6BD8" w:rsidRPr="00EC5031" w:rsidRDefault="006A6BD8" w:rsidP="006A6BD8">
      <w:pPr>
        <w:autoSpaceDE w:val="0"/>
        <w:autoSpaceDN w:val="0"/>
        <w:adjustRightInd w:val="0"/>
        <w:spacing w:after="0" w:line="240" w:lineRule="auto"/>
        <w:jc w:val="both"/>
        <w:rPr>
          <w:rFonts w:asciiTheme="majorHAnsi" w:hAnsiTheme="majorHAnsi" w:cs="Segoe UI"/>
          <w:b/>
          <w:sz w:val="24"/>
          <w:szCs w:val="24"/>
        </w:rPr>
      </w:pPr>
      <w:r w:rsidRPr="00EC5031">
        <w:rPr>
          <w:rFonts w:asciiTheme="majorHAnsi" w:hAnsiTheme="majorHAnsi" w:cs="Segoe UI"/>
          <w:b/>
          <w:sz w:val="24"/>
          <w:szCs w:val="24"/>
        </w:rPr>
        <w:t xml:space="preserve">Snahou skupiny bylo vypracovat jednoduchý návrh možné implementace VBP principů, který je komplementární se stávajícím systémem hodnocení přípravků na SUKL a může být vhodně aplikován např. u přípravků, kde je v současné době obtížné najít konsenzus hodnotitelů. </w:t>
      </w:r>
    </w:p>
    <w:p w14:paraId="7DE895B7" w14:textId="77777777" w:rsidR="001A55AE" w:rsidRPr="00EC5031" w:rsidRDefault="001A55AE" w:rsidP="006A6BD8">
      <w:pPr>
        <w:autoSpaceDE w:val="0"/>
        <w:autoSpaceDN w:val="0"/>
        <w:adjustRightInd w:val="0"/>
        <w:spacing w:after="0" w:line="240" w:lineRule="auto"/>
        <w:jc w:val="both"/>
        <w:rPr>
          <w:rFonts w:asciiTheme="majorHAnsi" w:hAnsiTheme="majorHAnsi" w:cs="Segoe UI"/>
          <w:b/>
          <w:sz w:val="24"/>
          <w:szCs w:val="24"/>
        </w:rPr>
      </w:pPr>
    </w:p>
    <w:p w14:paraId="5EC48A89" w14:textId="77777777" w:rsidR="006A6BD8" w:rsidRPr="00EC5031" w:rsidRDefault="006A6BD8" w:rsidP="006A6BD8">
      <w:pPr>
        <w:autoSpaceDE w:val="0"/>
        <w:autoSpaceDN w:val="0"/>
        <w:adjustRightInd w:val="0"/>
        <w:spacing w:after="0" w:line="240" w:lineRule="auto"/>
        <w:jc w:val="both"/>
        <w:rPr>
          <w:rFonts w:asciiTheme="majorHAnsi" w:hAnsiTheme="majorHAnsi" w:cs="Segoe UI"/>
          <w:b/>
          <w:sz w:val="24"/>
          <w:szCs w:val="24"/>
        </w:rPr>
      </w:pPr>
      <w:r w:rsidRPr="00EC5031">
        <w:rPr>
          <w:rFonts w:asciiTheme="majorHAnsi" w:hAnsiTheme="majorHAnsi" w:cs="Segoe UI"/>
          <w:b/>
          <w:sz w:val="24"/>
          <w:szCs w:val="24"/>
        </w:rPr>
        <w:t>Většina HTA systémů má jako první krok selekci vhodných technologií pro HTA hodnocení a jistě nemá smysl se pomocí navrženého postupu podrobně zabývat technologiemi, jejichž přínos je naprosto zřejmý či které v porovnání s komparátorem přináší nižší účinnost nebo tak výrazný dopad na rozpočet, že by mohly ohrozit udržitelnost systému.</w:t>
      </w:r>
    </w:p>
    <w:p w14:paraId="350389C1" w14:textId="77777777" w:rsidR="00C01434" w:rsidRPr="00EC5031" w:rsidRDefault="00C01434" w:rsidP="006A6BD8">
      <w:pPr>
        <w:autoSpaceDE w:val="0"/>
        <w:autoSpaceDN w:val="0"/>
        <w:adjustRightInd w:val="0"/>
        <w:spacing w:after="0" w:line="240" w:lineRule="auto"/>
        <w:jc w:val="both"/>
        <w:rPr>
          <w:rFonts w:asciiTheme="majorHAnsi" w:hAnsiTheme="majorHAnsi" w:cs="Segoe UI"/>
          <w:b/>
          <w:sz w:val="24"/>
          <w:szCs w:val="24"/>
        </w:rPr>
      </w:pPr>
    </w:p>
    <w:p w14:paraId="63C87EBD" w14:textId="77777777" w:rsidR="00C01434" w:rsidRPr="00EC5031" w:rsidRDefault="00C01434" w:rsidP="006A6BD8">
      <w:pPr>
        <w:autoSpaceDE w:val="0"/>
        <w:autoSpaceDN w:val="0"/>
        <w:adjustRightInd w:val="0"/>
        <w:spacing w:after="0" w:line="240" w:lineRule="auto"/>
        <w:jc w:val="both"/>
        <w:rPr>
          <w:rFonts w:asciiTheme="majorHAnsi" w:hAnsiTheme="majorHAnsi" w:cs="Segoe UI"/>
          <w:b/>
          <w:sz w:val="24"/>
          <w:szCs w:val="24"/>
        </w:rPr>
      </w:pPr>
      <w:r w:rsidRPr="00EC5031">
        <w:rPr>
          <w:rFonts w:asciiTheme="majorHAnsi" w:hAnsiTheme="majorHAnsi" w:cs="Segoe UI"/>
          <w:b/>
          <w:sz w:val="24"/>
          <w:szCs w:val="24"/>
        </w:rPr>
        <w:t xml:space="preserve">Také je třeba zmínit, že MCA není rozhodovací nástroj ale podpůrný. Umožňuje hodnotit </w:t>
      </w:r>
      <w:r w:rsidR="001B1C8D" w:rsidRPr="00EC5031">
        <w:rPr>
          <w:rFonts w:asciiTheme="majorHAnsi" w:hAnsiTheme="majorHAnsi" w:cs="Segoe UI"/>
          <w:b/>
          <w:sz w:val="24"/>
          <w:szCs w:val="24"/>
        </w:rPr>
        <w:t xml:space="preserve">do jaké míry </w:t>
      </w:r>
      <w:r w:rsidRPr="00EC5031">
        <w:rPr>
          <w:rFonts w:asciiTheme="majorHAnsi" w:hAnsiTheme="majorHAnsi" w:cs="Segoe UI"/>
          <w:b/>
          <w:sz w:val="24"/>
          <w:szCs w:val="24"/>
        </w:rPr>
        <w:t xml:space="preserve">nové technologie splňují předem stanovená kritéria důležitá pro zdravotní systém. Vlastní rozhodování pak velmi těsně závisí </w:t>
      </w:r>
      <w:r w:rsidR="001B1C8D" w:rsidRPr="00EC5031">
        <w:rPr>
          <w:rFonts w:asciiTheme="majorHAnsi" w:hAnsiTheme="majorHAnsi" w:cs="Segoe UI"/>
          <w:b/>
          <w:sz w:val="24"/>
          <w:szCs w:val="24"/>
        </w:rPr>
        <w:t xml:space="preserve">i na dalších aspektech </w:t>
      </w:r>
      <w:r w:rsidRPr="00EC5031">
        <w:rPr>
          <w:rFonts w:asciiTheme="majorHAnsi" w:hAnsiTheme="majorHAnsi" w:cs="Segoe UI"/>
          <w:b/>
          <w:sz w:val="24"/>
          <w:szCs w:val="24"/>
        </w:rPr>
        <w:t>n</w:t>
      </w:r>
      <w:r w:rsidR="001B1C8D" w:rsidRPr="00EC5031">
        <w:rPr>
          <w:rFonts w:asciiTheme="majorHAnsi" w:hAnsiTheme="majorHAnsi" w:cs="Segoe UI"/>
          <w:b/>
          <w:sz w:val="24"/>
          <w:szCs w:val="24"/>
        </w:rPr>
        <w:t>apř. na etických a sociálních</w:t>
      </w:r>
      <w:r w:rsidRPr="00EC5031">
        <w:rPr>
          <w:rFonts w:asciiTheme="majorHAnsi" w:hAnsiTheme="majorHAnsi" w:cs="Segoe UI"/>
          <w:b/>
          <w:sz w:val="24"/>
          <w:szCs w:val="24"/>
        </w:rPr>
        <w:t xml:space="preserve">, prioritách zdravotní politiky a </w:t>
      </w:r>
      <w:r w:rsidR="001A55AE" w:rsidRPr="00EC5031">
        <w:rPr>
          <w:rFonts w:asciiTheme="majorHAnsi" w:hAnsiTheme="majorHAnsi" w:cs="Segoe UI"/>
          <w:b/>
          <w:sz w:val="24"/>
          <w:szCs w:val="24"/>
        </w:rPr>
        <w:t xml:space="preserve">velkou měrou i na </w:t>
      </w:r>
      <w:r w:rsidRPr="00EC5031">
        <w:rPr>
          <w:rFonts w:asciiTheme="majorHAnsi" w:hAnsiTheme="majorHAnsi" w:cs="Segoe UI"/>
          <w:b/>
          <w:sz w:val="24"/>
          <w:szCs w:val="24"/>
        </w:rPr>
        <w:t>dopadu na rozpočet s ohledem na finanční udržitelnost systému.</w:t>
      </w:r>
    </w:p>
    <w:p w14:paraId="1DB2F965" w14:textId="77777777" w:rsidR="00414DA4" w:rsidRPr="00EC5031" w:rsidRDefault="00414DA4" w:rsidP="0092701F">
      <w:pPr>
        <w:rPr>
          <w:rFonts w:asciiTheme="majorHAnsi" w:hAnsiTheme="majorHAnsi" w:cs="Segoe UI"/>
          <w:sz w:val="24"/>
          <w:szCs w:val="24"/>
        </w:rPr>
      </w:pPr>
    </w:p>
    <w:p w14:paraId="12EB6F0B" w14:textId="77777777" w:rsidR="004E06C8" w:rsidRDefault="004E06C8" w:rsidP="0092701F">
      <w:pPr>
        <w:rPr>
          <w:rFonts w:asciiTheme="majorHAnsi" w:hAnsiTheme="majorHAnsi"/>
          <w:b/>
          <w:sz w:val="24"/>
          <w:szCs w:val="24"/>
        </w:rPr>
      </w:pPr>
    </w:p>
    <w:p w14:paraId="6D0FB503" w14:textId="77777777" w:rsidR="004E06C8" w:rsidRDefault="004E06C8" w:rsidP="0092701F">
      <w:pPr>
        <w:rPr>
          <w:rFonts w:asciiTheme="majorHAnsi" w:hAnsiTheme="majorHAnsi"/>
          <w:b/>
          <w:sz w:val="24"/>
          <w:szCs w:val="24"/>
        </w:rPr>
      </w:pPr>
    </w:p>
    <w:p w14:paraId="0FC4B48D" w14:textId="179A66AB" w:rsidR="004E06C8" w:rsidRDefault="004E06C8" w:rsidP="004E06C8">
      <w:pPr>
        <w:rPr>
          <w:b/>
          <w:u w:val="single"/>
          <w:lang w:val="en-US"/>
        </w:rPr>
      </w:pPr>
      <w:r>
        <w:rPr>
          <w:b/>
          <w:u w:val="single"/>
          <w:lang w:val="en-US"/>
        </w:rPr>
        <w:br w:type="page"/>
      </w:r>
    </w:p>
    <w:p w14:paraId="19615ADB" w14:textId="77777777" w:rsidR="004E06C8" w:rsidRPr="004E06C8" w:rsidRDefault="004E06C8" w:rsidP="004E06C8">
      <w:pPr>
        <w:rPr>
          <w:rFonts w:asciiTheme="majorHAnsi" w:hAnsiTheme="majorHAnsi"/>
          <w:b/>
          <w:u w:val="single"/>
          <w:lang w:val="en-US"/>
        </w:rPr>
      </w:pPr>
    </w:p>
    <w:p w14:paraId="1BE0E8DC" w14:textId="2C50C166" w:rsidR="002C20D4" w:rsidRDefault="002C20D4" w:rsidP="002C20D4">
      <w:pPr>
        <w:jc w:val="center"/>
        <w:rPr>
          <w:rFonts w:asciiTheme="majorHAnsi" w:hAnsiTheme="majorHAnsi"/>
          <w:b/>
          <w:sz w:val="24"/>
          <w:szCs w:val="24"/>
        </w:rPr>
      </w:pPr>
      <w:r>
        <w:rPr>
          <w:rFonts w:asciiTheme="majorHAnsi" w:hAnsiTheme="majorHAnsi"/>
          <w:b/>
          <w:sz w:val="24"/>
          <w:szCs w:val="24"/>
        </w:rPr>
        <w:t>3. COMPARATIVE EFFECTIVENESS RESEARCH</w:t>
      </w:r>
    </w:p>
    <w:p w14:paraId="6497D8AC" w14:textId="77777777" w:rsidR="004E06C8" w:rsidRDefault="004E06C8" w:rsidP="004E06C8">
      <w:pPr>
        <w:rPr>
          <w:rFonts w:asciiTheme="majorHAnsi" w:hAnsiTheme="majorHAnsi"/>
          <w:b/>
          <w:u w:val="single"/>
        </w:rPr>
      </w:pPr>
    </w:p>
    <w:p w14:paraId="31181DE1" w14:textId="5F81F771" w:rsidR="002C20D4" w:rsidRPr="004E06C8" w:rsidRDefault="00F77D82" w:rsidP="004E06C8">
      <w:pPr>
        <w:rPr>
          <w:rFonts w:asciiTheme="majorHAnsi" w:hAnsiTheme="majorHAnsi"/>
          <w:b/>
          <w:u w:val="single"/>
        </w:rPr>
      </w:pPr>
      <w:r>
        <w:rPr>
          <w:rFonts w:asciiTheme="majorHAnsi" w:hAnsiTheme="majorHAnsi"/>
          <w:b/>
          <w:u w:val="single"/>
        </w:rPr>
        <w:t xml:space="preserve">3.1. </w:t>
      </w:r>
      <w:r w:rsidR="002C20D4">
        <w:rPr>
          <w:rFonts w:asciiTheme="majorHAnsi" w:hAnsiTheme="majorHAnsi"/>
          <w:b/>
          <w:u w:val="single"/>
        </w:rPr>
        <w:t>Úvod</w:t>
      </w:r>
      <w:r>
        <w:rPr>
          <w:rFonts w:asciiTheme="majorHAnsi" w:hAnsiTheme="majorHAnsi"/>
          <w:b/>
          <w:u w:val="single"/>
        </w:rPr>
        <w:t xml:space="preserve"> a přehled problematiky</w:t>
      </w:r>
    </w:p>
    <w:p w14:paraId="306023DD" w14:textId="77777777" w:rsidR="004E06C8" w:rsidRPr="004E06C8" w:rsidRDefault="004E06C8" w:rsidP="004E06C8">
      <w:pPr>
        <w:rPr>
          <w:rFonts w:asciiTheme="majorHAnsi" w:hAnsiTheme="majorHAnsi"/>
          <w:b/>
          <w:u w:val="single"/>
        </w:rPr>
      </w:pPr>
      <w:r w:rsidRPr="004E06C8">
        <w:rPr>
          <w:rFonts w:asciiTheme="majorHAnsi" w:hAnsiTheme="majorHAnsi"/>
          <w:bCs/>
        </w:rPr>
        <w:t>Tento dokument si klade za cíl popsat metodologii srovnání jednotlivých benefitů (účinnost) a rizik (bezpečnost) terapeutických režimů / technologií a připravit tak nástroj, který je kompatibilní pro přímé využití v rámci pracovní skupiny VBP při ČFES pro hodnocení účinnosti a bezpečnosti intervence.</w:t>
      </w:r>
      <w:r w:rsidRPr="004E06C8">
        <w:rPr>
          <w:rFonts w:asciiTheme="majorHAnsi" w:hAnsiTheme="majorHAnsi"/>
          <w:b/>
          <w:u w:val="single"/>
        </w:rPr>
        <w:t xml:space="preserve"> </w:t>
      </w:r>
    </w:p>
    <w:p w14:paraId="5E85A034" w14:textId="77777777" w:rsidR="004E06C8" w:rsidRPr="004E06C8" w:rsidRDefault="004E06C8" w:rsidP="004E06C8">
      <w:pPr>
        <w:rPr>
          <w:rFonts w:asciiTheme="majorHAnsi" w:hAnsiTheme="majorHAnsi"/>
          <w:b/>
        </w:rPr>
      </w:pPr>
      <w:r w:rsidRPr="004E06C8">
        <w:rPr>
          <w:rFonts w:asciiTheme="majorHAnsi" w:hAnsiTheme="majorHAnsi"/>
          <w:b/>
        </w:rPr>
        <w:t>Definice</w:t>
      </w:r>
    </w:p>
    <w:p w14:paraId="4135FE28" w14:textId="77777777" w:rsidR="004E06C8" w:rsidRPr="004E06C8" w:rsidRDefault="004E06C8" w:rsidP="004E06C8">
      <w:pPr>
        <w:rPr>
          <w:rFonts w:asciiTheme="majorHAnsi" w:hAnsiTheme="majorHAnsi"/>
        </w:rPr>
      </w:pPr>
      <w:r w:rsidRPr="004E06C8">
        <w:rPr>
          <w:rFonts w:asciiTheme="majorHAnsi" w:hAnsiTheme="majorHAnsi"/>
        </w:rPr>
        <w:t>Comparative effectiveness je proces tvorby a syntézy evidence, která srovnává jak benefity, tak rizika různých metod používaných k prevenci, diagnóze, léčbě a následného sledování nemocí a ke zlepšení organizace zdravotní péče. Cílem comparative effectivness je pomoci těm, kteří zdravotní péči spotřebovávají, poskytují, financují a nakupují, stejně jako těm, kteří svými rozhodnutími určují zdravotní politiku, k informovaným rozhodnutím, která pomohou zlepšit zdravotní péči jak na individuální, tak populační úrovni.</w:t>
      </w:r>
    </w:p>
    <w:p w14:paraId="4DDFC057" w14:textId="77777777" w:rsidR="004E06C8" w:rsidRPr="004E06C8" w:rsidRDefault="004E06C8" w:rsidP="004E06C8">
      <w:pPr>
        <w:rPr>
          <w:rFonts w:asciiTheme="majorHAnsi" w:hAnsiTheme="majorHAnsi"/>
          <w:b/>
        </w:rPr>
      </w:pPr>
      <w:r w:rsidRPr="004E06C8">
        <w:rPr>
          <w:rFonts w:asciiTheme="majorHAnsi" w:hAnsiTheme="majorHAnsi"/>
          <w:b/>
        </w:rPr>
        <w:t>Rozsah srovnání</w:t>
      </w:r>
    </w:p>
    <w:p w14:paraId="61239865" w14:textId="77777777" w:rsidR="004E06C8" w:rsidRPr="004E06C8" w:rsidRDefault="004E06C8" w:rsidP="004E06C8">
      <w:pPr>
        <w:rPr>
          <w:rFonts w:asciiTheme="majorHAnsi" w:hAnsiTheme="majorHAnsi"/>
        </w:rPr>
      </w:pPr>
      <w:r w:rsidRPr="004E06C8">
        <w:rPr>
          <w:rFonts w:asciiTheme="majorHAnsi" w:hAnsiTheme="majorHAnsi"/>
        </w:rPr>
        <w:t>Comparative effectivness srovnává klinické benefity a klinická rizika dvou nebo více intervencí na individuální či populační úrovni. Tyto intervence mohou sloužit k</w:t>
      </w:r>
    </w:p>
    <w:p w14:paraId="115F45C0" w14:textId="77777777" w:rsidR="004E06C8" w:rsidRPr="004E06C8" w:rsidRDefault="004E06C8" w:rsidP="004E06C8">
      <w:pPr>
        <w:pStyle w:val="ListParagraph"/>
        <w:keepNext/>
        <w:numPr>
          <w:ilvl w:val="0"/>
          <w:numId w:val="6"/>
        </w:numPr>
        <w:spacing w:after="0" w:line="240" w:lineRule="auto"/>
        <w:rPr>
          <w:rFonts w:asciiTheme="majorHAnsi" w:hAnsiTheme="majorHAnsi"/>
        </w:rPr>
      </w:pPr>
      <w:r w:rsidRPr="004E06C8">
        <w:rPr>
          <w:rFonts w:asciiTheme="majorHAnsi" w:hAnsiTheme="majorHAnsi"/>
        </w:rPr>
        <w:t>Prevenci onemocnění</w:t>
      </w:r>
    </w:p>
    <w:p w14:paraId="0F03A102" w14:textId="77777777" w:rsidR="004E06C8" w:rsidRPr="004E06C8" w:rsidRDefault="004E06C8" w:rsidP="004E06C8">
      <w:pPr>
        <w:pStyle w:val="ListParagraph"/>
        <w:keepNext/>
        <w:numPr>
          <w:ilvl w:val="0"/>
          <w:numId w:val="6"/>
        </w:numPr>
        <w:spacing w:after="0" w:line="240" w:lineRule="auto"/>
        <w:rPr>
          <w:rFonts w:asciiTheme="majorHAnsi" w:hAnsiTheme="majorHAnsi"/>
        </w:rPr>
      </w:pPr>
      <w:r w:rsidRPr="004E06C8">
        <w:rPr>
          <w:rFonts w:asciiTheme="majorHAnsi" w:hAnsiTheme="majorHAnsi"/>
        </w:rPr>
        <w:t>Diagnóze onemocnění</w:t>
      </w:r>
    </w:p>
    <w:p w14:paraId="19447D6E" w14:textId="77777777" w:rsidR="004E06C8" w:rsidRPr="004E06C8" w:rsidRDefault="004E06C8" w:rsidP="004E06C8">
      <w:pPr>
        <w:pStyle w:val="ListParagraph"/>
        <w:keepNext/>
        <w:numPr>
          <w:ilvl w:val="0"/>
          <w:numId w:val="6"/>
        </w:numPr>
        <w:spacing w:after="0" w:line="240" w:lineRule="auto"/>
        <w:rPr>
          <w:rFonts w:asciiTheme="majorHAnsi" w:hAnsiTheme="majorHAnsi"/>
        </w:rPr>
      </w:pPr>
      <w:r w:rsidRPr="004E06C8">
        <w:rPr>
          <w:rFonts w:asciiTheme="majorHAnsi" w:hAnsiTheme="majorHAnsi"/>
        </w:rPr>
        <w:t>Léčbě onemocnění</w:t>
      </w:r>
    </w:p>
    <w:p w14:paraId="738CA52C" w14:textId="77777777" w:rsidR="004E06C8" w:rsidRPr="004E06C8" w:rsidRDefault="004E06C8" w:rsidP="004E06C8">
      <w:pPr>
        <w:pStyle w:val="ListParagraph"/>
        <w:keepNext/>
        <w:numPr>
          <w:ilvl w:val="0"/>
          <w:numId w:val="6"/>
        </w:numPr>
        <w:spacing w:after="0" w:line="240" w:lineRule="auto"/>
        <w:rPr>
          <w:rFonts w:asciiTheme="majorHAnsi" w:hAnsiTheme="majorHAnsi"/>
        </w:rPr>
      </w:pPr>
      <w:r w:rsidRPr="004E06C8">
        <w:rPr>
          <w:rFonts w:asciiTheme="majorHAnsi" w:hAnsiTheme="majorHAnsi"/>
        </w:rPr>
        <w:t>Následnému sledování po léčbě onemocnění</w:t>
      </w:r>
    </w:p>
    <w:p w14:paraId="75A97C5F" w14:textId="77777777" w:rsidR="004E06C8" w:rsidRPr="004E06C8" w:rsidRDefault="004E06C8" w:rsidP="004E06C8">
      <w:pPr>
        <w:pStyle w:val="ListParagraph"/>
        <w:keepNext/>
        <w:numPr>
          <w:ilvl w:val="0"/>
          <w:numId w:val="6"/>
        </w:numPr>
        <w:spacing w:after="0" w:line="240" w:lineRule="auto"/>
        <w:rPr>
          <w:rFonts w:asciiTheme="majorHAnsi" w:hAnsiTheme="majorHAnsi"/>
        </w:rPr>
      </w:pPr>
      <w:r w:rsidRPr="004E06C8">
        <w:rPr>
          <w:rFonts w:asciiTheme="majorHAnsi" w:hAnsiTheme="majorHAnsi"/>
        </w:rPr>
        <w:t>Zlepšení systému a organizace zdravotní péče</w:t>
      </w:r>
    </w:p>
    <w:p w14:paraId="02153E3A" w14:textId="77777777" w:rsidR="004E06C8" w:rsidRPr="004E06C8" w:rsidRDefault="004E06C8" w:rsidP="004E06C8">
      <w:pPr>
        <w:rPr>
          <w:rFonts w:asciiTheme="majorHAnsi" w:hAnsiTheme="majorHAnsi"/>
        </w:rPr>
      </w:pPr>
    </w:p>
    <w:p w14:paraId="0400F856" w14:textId="77777777" w:rsidR="004E06C8" w:rsidRPr="004E06C8" w:rsidRDefault="004E06C8" w:rsidP="004E06C8">
      <w:pPr>
        <w:rPr>
          <w:rFonts w:asciiTheme="majorHAnsi" w:hAnsiTheme="majorHAnsi"/>
        </w:rPr>
      </w:pPr>
      <w:r w:rsidRPr="004E06C8">
        <w:rPr>
          <w:rFonts w:asciiTheme="majorHAnsi" w:hAnsiTheme="majorHAnsi"/>
        </w:rPr>
        <w:t>Intervencí může být nejenom aktivní přístup, ale také pasívní přístup (např. sledování pacienta, neléčení aktivní intervencí).</w:t>
      </w:r>
    </w:p>
    <w:p w14:paraId="24C643AC" w14:textId="77777777" w:rsidR="004E06C8" w:rsidRPr="004E06C8" w:rsidRDefault="004E06C8" w:rsidP="004E06C8">
      <w:pPr>
        <w:rPr>
          <w:rFonts w:asciiTheme="majorHAnsi" w:hAnsiTheme="majorHAnsi"/>
        </w:rPr>
      </w:pPr>
      <w:r w:rsidRPr="004E06C8">
        <w:rPr>
          <w:rFonts w:asciiTheme="majorHAnsi" w:hAnsiTheme="majorHAnsi"/>
        </w:rPr>
        <w:t>Každá intervence má své benefity a rizika. Tyto benefity a rizika je třeba porovnat oproti alternativní intervenci. To znamená, že výsledkem procesu comparative effectivness je relativní porovnání benefitů a rizik dvou nebo více intervencí oproti sobě. Vzhledem k tomu, že nelze rozumně očekávat, že u všech intervencí jsou výsledky (jak benefitů tak rizik) měřeny ve stejných proměnných a ve stejných jednotkách (viz níže), jeví se jako nejvýhodnější porovnávat benefity a rizika na ordinální škále. Tato škála používá následující hodnocení intervence oproti srovnávané intervencí (komparátoru):</w:t>
      </w:r>
    </w:p>
    <w:p w14:paraId="6F357612" w14:textId="77777777" w:rsidR="004E06C8" w:rsidRPr="004E06C8" w:rsidRDefault="004E06C8" w:rsidP="004E06C8">
      <w:pPr>
        <w:pStyle w:val="ListParagraph"/>
        <w:keepNext/>
        <w:numPr>
          <w:ilvl w:val="0"/>
          <w:numId w:val="7"/>
        </w:numPr>
        <w:spacing w:after="0" w:line="240" w:lineRule="auto"/>
        <w:rPr>
          <w:rFonts w:asciiTheme="majorHAnsi" w:hAnsiTheme="majorHAnsi"/>
        </w:rPr>
      </w:pPr>
      <w:r w:rsidRPr="004E06C8">
        <w:rPr>
          <w:rFonts w:asciiTheme="majorHAnsi" w:hAnsiTheme="majorHAnsi"/>
        </w:rPr>
        <w:t>Horší, než komparátor</w:t>
      </w:r>
    </w:p>
    <w:p w14:paraId="70FF70E5" w14:textId="77777777" w:rsidR="004E06C8" w:rsidRPr="004E06C8" w:rsidRDefault="004E06C8" w:rsidP="004E06C8">
      <w:pPr>
        <w:pStyle w:val="ListParagraph"/>
        <w:keepNext/>
        <w:numPr>
          <w:ilvl w:val="0"/>
          <w:numId w:val="7"/>
        </w:numPr>
        <w:spacing w:after="0" w:line="240" w:lineRule="auto"/>
        <w:rPr>
          <w:rFonts w:asciiTheme="majorHAnsi" w:hAnsiTheme="majorHAnsi"/>
        </w:rPr>
      </w:pPr>
      <w:r w:rsidRPr="004E06C8">
        <w:rPr>
          <w:rFonts w:asciiTheme="majorHAnsi" w:hAnsiTheme="majorHAnsi"/>
        </w:rPr>
        <w:t>Stejný jako komparátor</w:t>
      </w:r>
    </w:p>
    <w:p w14:paraId="129AF1D0" w14:textId="77777777" w:rsidR="004E06C8" w:rsidRPr="004E06C8" w:rsidRDefault="004E06C8" w:rsidP="004E06C8">
      <w:pPr>
        <w:pStyle w:val="ListParagraph"/>
        <w:keepNext/>
        <w:numPr>
          <w:ilvl w:val="0"/>
          <w:numId w:val="7"/>
        </w:numPr>
        <w:spacing w:after="0" w:line="240" w:lineRule="auto"/>
        <w:rPr>
          <w:rFonts w:asciiTheme="majorHAnsi" w:hAnsiTheme="majorHAnsi"/>
        </w:rPr>
      </w:pPr>
      <w:r w:rsidRPr="004E06C8">
        <w:rPr>
          <w:rFonts w:asciiTheme="majorHAnsi" w:hAnsiTheme="majorHAnsi"/>
        </w:rPr>
        <w:t>Lepší, než komparátor</w:t>
      </w:r>
    </w:p>
    <w:p w14:paraId="5D3B6C56" w14:textId="77777777" w:rsidR="004E06C8" w:rsidRPr="004E06C8" w:rsidRDefault="004E06C8" w:rsidP="004E06C8">
      <w:pPr>
        <w:pStyle w:val="ListParagraph"/>
        <w:keepNext/>
        <w:numPr>
          <w:ilvl w:val="0"/>
          <w:numId w:val="7"/>
        </w:numPr>
        <w:spacing w:after="0" w:line="240" w:lineRule="auto"/>
        <w:rPr>
          <w:rFonts w:asciiTheme="majorHAnsi" w:hAnsiTheme="majorHAnsi"/>
        </w:rPr>
      </w:pPr>
      <w:r w:rsidRPr="004E06C8">
        <w:rPr>
          <w:rFonts w:asciiTheme="majorHAnsi" w:hAnsiTheme="majorHAnsi"/>
        </w:rPr>
        <w:t>Výrazně lepší, než komparátor</w:t>
      </w:r>
    </w:p>
    <w:p w14:paraId="4BB80CC9" w14:textId="77777777" w:rsidR="004E06C8" w:rsidRPr="004E06C8" w:rsidRDefault="004E06C8" w:rsidP="004E06C8">
      <w:pPr>
        <w:rPr>
          <w:rFonts w:asciiTheme="majorHAnsi" w:hAnsiTheme="majorHAnsi"/>
        </w:rPr>
      </w:pPr>
    </w:p>
    <w:p w14:paraId="6ECF6A49" w14:textId="77777777" w:rsidR="004E06C8" w:rsidRPr="004E06C8" w:rsidRDefault="004E06C8" w:rsidP="004E06C8">
      <w:pPr>
        <w:rPr>
          <w:rFonts w:asciiTheme="majorHAnsi" w:hAnsiTheme="majorHAnsi"/>
        </w:rPr>
      </w:pPr>
      <w:r w:rsidRPr="004E06C8">
        <w:rPr>
          <w:rFonts w:asciiTheme="majorHAnsi" w:hAnsiTheme="majorHAnsi"/>
        </w:rPr>
        <w:lastRenderedPageBreak/>
        <w:t>Výsledkem procesu comparative effectivness je tedy jasné stanovení benefitů a rizik oproti srovnávané intervenci (intervencím) – komparátoru (komparátorům). Tento výsledek je vstupem pro další hodnocení intervence pomocí vícerozměrné analýzy.</w:t>
      </w:r>
    </w:p>
    <w:p w14:paraId="3712E657" w14:textId="77777777" w:rsidR="004E06C8" w:rsidRPr="004E06C8" w:rsidRDefault="004E06C8" w:rsidP="004E06C8">
      <w:pPr>
        <w:rPr>
          <w:rFonts w:asciiTheme="majorHAnsi" w:hAnsiTheme="majorHAnsi"/>
        </w:rPr>
      </w:pPr>
      <w:r w:rsidRPr="004E06C8">
        <w:rPr>
          <w:rFonts w:asciiTheme="majorHAnsi" w:hAnsiTheme="majorHAnsi"/>
          <w:b/>
        </w:rPr>
        <w:t>Správný výběr komparátora:</w:t>
      </w:r>
      <w:r w:rsidRPr="004E06C8">
        <w:rPr>
          <w:rFonts w:asciiTheme="majorHAnsi" w:hAnsiTheme="majorHAnsi"/>
        </w:rPr>
        <w:t xml:space="preserve"> </w:t>
      </w:r>
    </w:p>
    <w:p w14:paraId="13EDB5D8" w14:textId="77777777" w:rsidR="004E06C8" w:rsidRPr="004E06C8" w:rsidRDefault="004E06C8" w:rsidP="004E06C8">
      <w:pPr>
        <w:rPr>
          <w:rFonts w:asciiTheme="majorHAnsi" w:hAnsiTheme="majorHAnsi"/>
        </w:rPr>
      </w:pPr>
      <w:r w:rsidRPr="004E06C8">
        <w:rPr>
          <w:rFonts w:asciiTheme="majorHAnsi" w:hAnsiTheme="majorHAnsi"/>
        </w:rPr>
        <w:t xml:space="preserve">Srovnávaná intervence (komparátor) je terapeutický postup, který je v terapii daného onemocnění cílové skupiny pacientů přijímán jako obvyklý pro dané stádium onemocnění a linii jeho léčby a je současně hrazen z prostředků zdravotního pojištění vč. tzv. </w:t>
      </w:r>
      <w:r w:rsidRPr="004E06C8">
        <w:rPr>
          <w:rFonts w:asciiTheme="majorHAnsi" w:hAnsiTheme="majorHAnsi"/>
          <w:i/>
        </w:rPr>
        <w:t>off-label</w:t>
      </w:r>
      <w:r w:rsidRPr="004E06C8">
        <w:rPr>
          <w:rFonts w:asciiTheme="majorHAnsi" w:hAnsiTheme="majorHAnsi"/>
        </w:rPr>
        <w:t xml:space="preserve"> indikací, pokud jsou hrazeny. Pokud existuje více takových obvyklých intervencí, nebo nelze jednoznačně říci, která intervence je přijímána jako obvyklá, nebo u významné části pacientů se používá i jiný typ intervence, mělo by být v předloženém hodnocení přítomno srovnání proti více komparátorům (</w:t>
      </w:r>
      <w:r w:rsidRPr="004E06C8">
        <w:rPr>
          <w:rFonts w:asciiTheme="majorHAnsi" w:hAnsiTheme="majorHAnsi"/>
          <w:i/>
        </w:rPr>
        <w:t>multiple-treatment comparison</w:t>
      </w:r>
      <w:r w:rsidRPr="004E06C8">
        <w:rPr>
          <w:rFonts w:asciiTheme="majorHAnsi" w:hAnsiTheme="majorHAnsi"/>
        </w:rPr>
        <w:t xml:space="preserve">). Pokud se hodnocená intervence přidává k současné terapii (tzv. </w:t>
      </w:r>
      <w:r w:rsidRPr="004E06C8">
        <w:rPr>
          <w:rFonts w:asciiTheme="majorHAnsi" w:hAnsiTheme="majorHAnsi"/>
          <w:i/>
        </w:rPr>
        <w:t>add-on terapie</w:t>
      </w:r>
      <w:r w:rsidRPr="004E06C8">
        <w:rPr>
          <w:rFonts w:asciiTheme="majorHAnsi" w:hAnsiTheme="majorHAnsi"/>
        </w:rPr>
        <w:t xml:space="preserve">) za účelem např. zlepšení výsledků léčby, měl by zpravidla autor hodnocení provést srovnání stavu s add-on terapií oproti stavu bez </w:t>
      </w:r>
      <w:r w:rsidRPr="004E06C8">
        <w:rPr>
          <w:rFonts w:asciiTheme="majorHAnsi" w:hAnsiTheme="majorHAnsi"/>
          <w:i/>
        </w:rPr>
        <w:t>add-on</w:t>
      </w:r>
      <w:r w:rsidRPr="004E06C8">
        <w:rPr>
          <w:rFonts w:asciiTheme="majorHAnsi" w:hAnsiTheme="majorHAnsi"/>
        </w:rPr>
        <w:t xml:space="preserve"> terapie. V případě, že prokazatelně neexistuje aktivní komparátor (např.: hodnocená intervence se používá v poslední linii léčby), mělo by hodnocení být provedeno porovnáním stavů s hodnocenou intervencí a bez hodnocené intervence.</w:t>
      </w:r>
    </w:p>
    <w:p w14:paraId="5A829DC6" w14:textId="77777777" w:rsidR="004E06C8" w:rsidRPr="004E06C8" w:rsidRDefault="004E06C8" w:rsidP="004E06C8">
      <w:pPr>
        <w:rPr>
          <w:rFonts w:asciiTheme="majorHAnsi" w:hAnsiTheme="majorHAnsi"/>
        </w:rPr>
      </w:pPr>
      <w:r w:rsidRPr="004E06C8">
        <w:rPr>
          <w:rFonts w:asciiTheme="majorHAnsi" w:hAnsiTheme="majorHAnsi"/>
        </w:rPr>
        <w:t xml:space="preserve">Hrazený terapeutický postup znamená, že jde o LP/PZLÚ nebo jiný terapeutický postup, který je hrazený z prostředků zdravotního pojištění. </w:t>
      </w:r>
    </w:p>
    <w:p w14:paraId="6D99CD2A" w14:textId="77777777" w:rsidR="004E06C8" w:rsidRPr="004E06C8" w:rsidRDefault="004E06C8" w:rsidP="004E06C8">
      <w:pPr>
        <w:rPr>
          <w:rFonts w:asciiTheme="majorHAnsi" w:hAnsiTheme="majorHAnsi"/>
        </w:rPr>
      </w:pPr>
      <w:r w:rsidRPr="004E06C8">
        <w:rPr>
          <w:rFonts w:asciiTheme="majorHAnsi" w:hAnsiTheme="majorHAnsi"/>
        </w:rPr>
        <w:t xml:space="preserve">Výběr komparátoru musí být řádně odůvodněn na základě dostupných doporučených postupů, klinických studií a klinických </w:t>
      </w:r>
      <w:r w:rsidRPr="004E06C8">
        <w:rPr>
          <w:rFonts w:asciiTheme="majorHAnsi" w:hAnsiTheme="majorHAnsi"/>
          <w:i/>
        </w:rPr>
        <w:t>review</w:t>
      </w:r>
      <w:r w:rsidRPr="004E06C8">
        <w:rPr>
          <w:rFonts w:asciiTheme="majorHAnsi" w:hAnsiTheme="majorHAnsi"/>
        </w:rPr>
        <w:t xml:space="preserve"> s ohledem na reálnou klinickou praxi v České republice. Úvahy, které autora vedly k volbě konkrétního komparátoru, by měly být jasně popsány a doloženy důkazy.</w:t>
      </w:r>
    </w:p>
    <w:p w14:paraId="47850812" w14:textId="77777777" w:rsidR="004E06C8" w:rsidRPr="004E06C8" w:rsidRDefault="004E06C8" w:rsidP="004E06C8">
      <w:pPr>
        <w:rPr>
          <w:rFonts w:asciiTheme="majorHAnsi" w:hAnsiTheme="majorHAnsi"/>
          <w:b/>
        </w:rPr>
      </w:pPr>
      <w:r w:rsidRPr="004E06C8">
        <w:rPr>
          <w:rFonts w:asciiTheme="majorHAnsi" w:hAnsiTheme="majorHAnsi"/>
          <w:b/>
        </w:rPr>
        <w:t>Zdroje pro comparative effectivness</w:t>
      </w:r>
    </w:p>
    <w:p w14:paraId="16A20ADE" w14:textId="382D8027" w:rsidR="004E06C8" w:rsidRPr="004E06C8" w:rsidRDefault="004E06C8" w:rsidP="004E06C8">
      <w:pPr>
        <w:rPr>
          <w:rFonts w:asciiTheme="majorHAnsi" w:hAnsiTheme="majorHAnsi"/>
        </w:rPr>
      </w:pPr>
      <w:r w:rsidRPr="004E06C8">
        <w:rPr>
          <w:rFonts w:asciiTheme="majorHAnsi" w:hAnsiTheme="majorHAnsi"/>
        </w:rPr>
        <w:t>Zdroji pro proces stanovení comparative effectiv</w:t>
      </w:r>
      <w:r w:rsidR="00797ABB">
        <w:rPr>
          <w:rFonts w:asciiTheme="majorHAnsi" w:hAnsiTheme="majorHAnsi"/>
        </w:rPr>
        <w:t>n</w:t>
      </w:r>
      <w:r w:rsidRPr="004E06C8">
        <w:rPr>
          <w:rFonts w:asciiTheme="majorHAnsi" w:hAnsiTheme="majorHAnsi"/>
        </w:rPr>
        <w:t xml:space="preserve">ess jsou především data z veřejně přístupných zdrojů (publikací), data z veřejně nepřístupných zdrojů (data on file) a výsledky comparative effectivness research. Základem je pak pečlivě provedené systematické review dostupné evidence. </w:t>
      </w:r>
    </w:p>
    <w:p w14:paraId="2C21D8ED" w14:textId="77777777" w:rsidR="004E06C8" w:rsidRPr="004E06C8" w:rsidRDefault="004E06C8" w:rsidP="004E06C8">
      <w:pPr>
        <w:rPr>
          <w:rFonts w:asciiTheme="majorHAnsi" w:hAnsiTheme="majorHAnsi"/>
        </w:rPr>
      </w:pPr>
      <w:r w:rsidRPr="004E06C8">
        <w:rPr>
          <w:rFonts w:asciiTheme="majorHAnsi" w:hAnsiTheme="majorHAnsi"/>
        </w:rPr>
        <w:t>Publikovaná i nepublikovaná data se liší svou reprezentativností odvozenou od metodiky, jakou byla získána. Jejich reprezentativnost od nejvíce reprezentativních po nejméně reprezentativní je následující (tato hierarchie není arbitrární):</w:t>
      </w:r>
    </w:p>
    <w:p w14:paraId="712E714D" w14:textId="77777777" w:rsidR="004E06C8" w:rsidRPr="004E06C8" w:rsidRDefault="004E06C8" w:rsidP="004E06C8">
      <w:pPr>
        <w:pStyle w:val="ListParagraph"/>
        <w:keepNext/>
        <w:numPr>
          <w:ilvl w:val="0"/>
          <w:numId w:val="11"/>
        </w:numPr>
        <w:spacing w:after="0" w:line="240" w:lineRule="auto"/>
        <w:rPr>
          <w:rFonts w:asciiTheme="majorHAnsi" w:hAnsiTheme="majorHAnsi"/>
        </w:rPr>
      </w:pPr>
      <w:r w:rsidRPr="004E06C8">
        <w:rPr>
          <w:rFonts w:asciiTheme="majorHAnsi" w:hAnsiTheme="majorHAnsi"/>
        </w:rPr>
        <w:t>Dostatečně validní přímé srovnání</w:t>
      </w:r>
    </w:p>
    <w:p w14:paraId="1DBD8DA9" w14:textId="77777777" w:rsidR="004E06C8" w:rsidRPr="004E06C8" w:rsidRDefault="004E06C8" w:rsidP="004E06C8">
      <w:pPr>
        <w:pStyle w:val="ListParagraph"/>
        <w:keepNext/>
        <w:numPr>
          <w:ilvl w:val="0"/>
          <w:numId w:val="8"/>
        </w:numPr>
        <w:spacing w:after="0" w:line="240" w:lineRule="auto"/>
        <w:rPr>
          <w:rFonts w:asciiTheme="majorHAnsi" w:hAnsiTheme="majorHAnsi"/>
        </w:rPr>
      </w:pPr>
      <w:r w:rsidRPr="004E06C8">
        <w:rPr>
          <w:rFonts w:asciiTheme="majorHAnsi" w:hAnsiTheme="majorHAnsi"/>
        </w:rPr>
        <w:t>Meta-analýza randomizovaných kontrolovaných studií</w:t>
      </w:r>
    </w:p>
    <w:p w14:paraId="0BF05B73" w14:textId="77777777" w:rsidR="004E06C8" w:rsidRPr="004E06C8" w:rsidRDefault="004E06C8" w:rsidP="004E06C8">
      <w:pPr>
        <w:pStyle w:val="ListParagraph"/>
        <w:keepNext/>
        <w:numPr>
          <w:ilvl w:val="0"/>
          <w:numId w:val="8"/>
        </w:numPr>
        <w:spacing w:after="0" w:line="240" w:lineRule="auto"/>
        <w:rPr>
          <w:rFonts w:asciiTheme="majorHAnsi" w:hAnsiTheme="majorHAnsi"/>
        </w:rPr>
      </w:pPr>
      <w:r w:rsidRPr="004E06C8">
        <w:rPr>
          <w:rFonts w:asciiTheme="majorHAnsi" w:hAnsiTheme="majorHAnsi"/>
        </w:rPr>
        <w:t>Randomizované kontrolované studie</w:t>
      </w:r>
    </w:p>
    <w:p w14:paraId="1EF0F018" w14:textId="77777777" w:rsidR="004E06C8" w:rsidRPr="004E06C8" w:rsidRDefault="004E06C8" w:rsidP="004E06C8">
      <w:pPr>
        <w:pStyle w:val="ListParagraph"/>
        <w:keepNext/>
        <w:numPr>
          <w:ilvl w:val="0"/>
          <w:numId w:val="8"/>
        </w:numPr>
        <w:spacing w:after="0" w:line="240" w:lineRule="auto"/>
        <w:rPr>
          <w:rFonts w:asciiTheme="majorHAnsi" w:hAnsiTheme="majorHAnsi"/>
        </w:rPr>
      </w:pPr>
      <w:r w:rsidRPr="004E06C8">
        <w:rPr>
          <w:rFonts w:asciiTheme="majorHAnsi" w:hAnsiTheme="majorHAnsi"/>
        </w:rPr>
        <w:t>Real world evidence: studie kohortové, case-control studies či cross sectional studies aj.</w:t>
      </w:r>
    </w:p>
    <w:p w14:paraId="1C378DBB" w14:textId="77777777" w:rsidR="004E06C8" w:rsidRPr="004E06C8" w:rsidRDefault="004E06C8" w:rsidP="004E06C8">
      <w:pPr>
        <w:pStyle w:val="ListParagraph"/>
        <w:keepNext/>
        <w:numPr>
          <w:ilvl w:val="0"/>
          <w:numId w:val="8"/>
        </w:numPr>
        <w:spacing w:after="0" w:line="240" w:lineRule="auto"/>
        <w:rPr>
          <w:rFonts w:asciiTheme="majorHAnsi" w:hAnsiTheme="majorHAnsi"/>
        </w:rPr>
      </w:pPr>
    </w:p>
    <w:p w14:paraId="1A44FD94" w14:textId="77777777" w:rsidR="004E06C8" w:rsidRPr="004E06C8" w:rsidRDefault="004E06C8" w:rsidP="004E06C8">
      <w:pPr>
        <w:pStyle w:val="ListParagraph"/>
        <w:keepNext/>
        <w:numPr>
          <w:ilvl w:val="0"/>
          <w:numId w:val="11"/>
        </w:numPr>
        <w:spacing w:after="0" w:line="240" w:lineRule="auto"/>
        <w:rPr>
          <w:rFonts w:asciiTheme="majorHAnsi" w:hAnsiTheme="majorHAnsi"/>
        </w:rPr>
      </w:pPr>
      <w:r w:rsidRPr="004E06C8">
        <w:rPr>
          <w:rFonts w:asciiTheme="majorHAnsi" w:hAnsiTheme="majorHAnsi"/>
        </w:rPr>
        <w:t>Nepřímé srovnání či network meta-analýzy (NMA)</w:t>
      </w:r>
    </w:p>
    <w:p w14:paraId="63C0C48C" w14:textId="77777777" w:rsidR="004E06C8" w:rsidRPr="004E06C8" w:rsidRDefault="004E06C8" w:rsidP="004E06C8">
      <w:pPr>
        <w:pStyle w:val="ListParagraph"/>
        <w:ind w:left="360"/>
        <w:rPr>
          <w:rFonts w:asciiTheme="majorHAnsi" w:hAnsiTheme="majorHAnsi"/>
        </w:rPr>
      </w:pPr>
      <w:r w:rsidRPr="004E06C8">
        <w:rPr>
          <w:rFonts w:asciiTheme="majorHAnsi" w:hAnsiTheme="majorHAnsi"/>
        </w:rPr>
        <w:t>Nutno uvést, že správně provedené srovnání, které vychází jak ze srovnání přímých, tak nepřímých, je v poslední době preferovaným zdrojem pro interpretaci účinnosti, bezpečnosti. Mluvíme o tzv. MTC (Mixed treatment comparison), kde tedy do výsledné sítě porovnání přispívají výsledky jednotlivých studií a navzájem se ovlivňují</w:t>
      </w:r>
    </w:p>
    <w:p w14:paraId="75410805" w14:textId="77777777" w:rsidR="004E06C8" w:rsidRPr="004E06C8" w:rsidRDefault="004E06C8" w:rsidP="004E06C8">
      <w:pPr>
        <w:rPr>
          <w:rFonts w:asciiTheme="majorHAnsi" w:hAnsiTheme="majorHAnsi"/>
          <w:b/>
        </w:rPr>
      </w:pPr>
    </w:p>
    <w:p w14:paraId="0563CF7B" w14:textId="77777777" w:rsidR="004E06C8" w:rsidRPr="004E06C8" w:rsidRDefault="004E06C8" w:rsidP="004E06C8">
      <w:pPr>
        <w:rPr>
          <w:rFonts w:asciiTheme="majorHAnsi" w:hAnsiTheme="majorHAnsi"/>
        </w:rPr>
      </w:pPr>
      <w:r w:rsidRPr="004E06C8">
        <w:rPr>
          <w:rFonts w:asciiTheme="majorHAnsi" w:hAnsiTheme="majorHAnsi"/>
        </w:rPr>
        <w:lastRenderedPageBreak/>
        <w:t>Ve vybraných případech je pak nutno na dostupnou klinickou světovou/ evropskou evidenci nahlížet s ohledem na názory klinických expertů (odborné společnosti), a to za účelem dokreslení skutečné situace s ohledem na klinickou praxi v ČR.</w:t>
      </w:r>
    </w:p>
    <w:p w14:paraId="6F6B4567" w14:textId="77777777" w:rsidR="004E06C8" w:rsidRPr="004E06C8" w:rsidRDefault="004E06C8" w:rsidP="004E06C8">
      <w:pPr>
        <w:rPr>
          <w:rFonts w:asciiTheme="majorHAnsi" w:hAnsiTheme="majorHAnsi"/>
          <w:b/>
        </w:rPr>
      </w:pPr>
      <w:r w:rsidRPr="004E06C8">
        <w:rPr>
          <w:rFonts w:asciiTheme="majorHAnsi" w:hAnsiTheme="majorHAnsi"/>
          <w:b/>
        </w:rPr>
        <w:t>Stanovení benefitů</w:t>
      </w:r>
    </w:p>
    <w:p w14:paraId="33540F6E" w14:textId="0111A33C" w:rsidR="004E06C8" w:rsidRPr="004E06C8" w:rsidRDefault="004E06C8" w:rsidP="004E06C8">
      <w:pPr>
        <w:rPr>
          <w:rFonts w:asciiTheme="majorHAnsi" w:hAnsiTheme="majorHAnsi"/>
        </w:rPr>
      </w:pPr>
      <w:r w:rsidRPr="004E06C8">
        <w:rPr>
          <w:rFonts w:asciiTheme="majorHAnsi" w:hAnsiTheme="majorHAnsi"/>
        </w:rPr>
        <w:t xml:space="preserve"> Benefity jsou měřeny v různých studiích různě. Ne vždy je</w:t>
      </w:r>
      <w:r w:rsidR="002C20D4">
        <w:rPr>
          <w:rFonts w:asciiTheme="majorHAnsi" w:hAnsiTheme="majorHAnsi"/>
        </w:rPr>
        <w:t xml:space="preserve"> možné či praktické stanovovat </w:t>
      </w:r>
      <w:r w:rsidRPr="004E06C8">
        <w:rPr>
          <w:rFonts w:asciiTheme="majorHAnsi" w:hAnsiTheme="majorHAnsi"/>
        </w:rPr>
        <w:t>všechny relevantní benefity. Proto předkládáme přehled relevantních benefitů pro potřeby comparative effectivness:</w:t>
      </w:r>
    </w:p>
    <w:p w14:paraId="5DA0C557" w14:textId="77777777" w:rsidR="004E06C8" w:rsidRPr="004E06C8" w:rsidRDefault="004E06C8" w:rsidP="004E06C8">
      <w:pPr>
        <w:pStyle w:val="ListParagraph"/>
        <w:keepNext/>
        <w:numPr>
          <w:ilvl w:val="0"/>
          <w:numId w:val="9"/>
        </w:numPr>
        <w:spacing w:after="0" w:line="240" w:lineRule="auto"/>
        <w:rPr>
          <w:rFonts w:asciiTheme="majorHAnsi" w:hAnsiTheme="majorHAnsi"/>
        </w:rPr>
      </w:pPr>
      <w:r w:rsidRPr="004E06C8">
        <w:rPr>
          <w:rFonts w:asciiTheme="majorHAnsi" w:hAnsiTheme="majorHAnsi"/>
        </w:rPr>
        <w:t>Prodloužení délky života je benefitem, který nemůže být zpochybněn.</w:t>
      </w:r>
    </w:p>
    <w:p w14:paraId="7CEB53AD" w14:textId="77777777" w:rsidR="004E06C8" w:rsidRPr="004E06C8" w:rsidRDefault="004E06C8" w:rsidP="004E06C8">
      <w:pPr>
        <w:pStyle w:val="ListParagraph"/>
        <w:keepNext/>
        <w:numPr>
          <w:ilvl w:val="0"/>
          <w:numId w:val="9"/>
        </w:numPr>
        <w:spacing w:after="0" w:line="240" w:lineRule="auto"/>
        <w:rPr>
          <w:rFonts w:asciiTheme="majorHAnsi" w:hAnsiTheme="majorHAnsi"/>
        </w:rPr>
      </w:pPr>
      <w:r w:rsidRPr="004E06C8">
        <w:rPr>
          <w:rFonts w:asciiTheme="majorHAnsi" w:hAnsiTheme="majorHAnsi"/>
        </w:rPr>
        <w:t xml:space="preserve">Snížení mortality za časovou jednotku je benefit vhodný pro akutní i chronická onemocnění, kde je možné pozorovat rozdíl v mortalitě při různých  intervencích. </w:t>
      </w:r>
    </w:p>
    <w:p w14:paraId="7AD12678" w14:textId="77777777" w:rsidR="004E06C8" w:rsidRPr="004E06C8" w:rsidRDefault="004E06C8" w:rsidP="004E06C8">
      <w:pPr>
        <w:pStyle w:val="ListParagraph"/>
        <w:keepNext/>
        <w:numPr>
          <w:ilvl w:val="0"/>
          <w:numId w:val="9"/>
        </w:numPr>
        <w:spacing w:after="0" w:line="240" w:lineRule="auto"/>
        <w:rPr>
          <w:rFonts w:asciiTheme="majorHAnsi" w:hAnsiTheme="majorHAnsi"/>
        </w:rPr>
      </w:pPr>
      <w:r w:rsidRPr="004E06C8">
        <w:rPr>
          <w:rFonts w:asciiTheme="majorHAnsi" w:hAnsiTheme="majorHAnsi"/>
        </w:rPr>
        <w:t xml:space="preserve">Snížení počtu klinicky významných outcomes (mozková mrtvice, infarkt myokardu, hospitalizace, atd.) za časovou jednotku je benefit vhodný pro akutní i chronická onemocnění, kde je možné pozorovat rozdíl v outcomes při intervencích. </w:t>
      </w:r>
    </w:p>
    <w:p w14:paraId="407D62A6" w14:textId="77777777" w:rsidR="004E06C8" w:rsidRPr="004E06C8" w:rsidRDefault="004E06C8" w:rsidP="004E06C8">
      <w:pPr>
        <w:pStyle w:val="ListParagraph"/>
        <w:keepNext/>
        <w:numPr>
          <w:ilvl w:val="0"/>
          <w:numId w:val="9"/>
        </w:numPr>
        <w:spacing w:after="0" w:line="240" w:lineRule="auto"/>
        <w:rPr>
          <w:rFonts w:asciiTheme="majorHAnsi" w:hAnsiTheme="majorHAnsi"/>
        </w:rPr>
      </w:pPr>
      <w:r w:rsidRPr="004E06C8">
        <w:rPr>
          <w:rFonts w:asciiTheme="majorHAnsi" w:hAnsiTheme="majorHAnsi"/>
        </w:rPr>
        <w:t>Kombinované outcomes za časovou jednotku (smrt z kardiovaskulárních příčin nebo infarkt myokardu nebo mozková mrtvice, hospitalizace nebo akutní ošetření pro exacerbaci onemocnění, apod.): je benefit vhodný pro akutní i chronická onemocnění, kde je možné pozorovat rozdíl v outcomes při intervencích</w:t>
      </w:r>
    </w:p>
    <w:p w14:paraId="63430035" w14:textId="14DF32BB" w:rsidR="004E06C8" w:rsidRPr="004E06C8" w:rsidRDefault="004E06C8" w:rsidP="004E06C8">
      <w:pPr>
        <w:pStyle w:val="ListParagraph"/>
        <w:keepNext/>
        <w:numPr>
          <w:ilvl w:val="0"/>
          <w:numId w:val="9"/>
        </w:numPr>
        <w:spacing w:after="0" w:line="240" w:lineRule="auto"/>
        <w:rPr>
          <w:rFonts w:asciiTheme="majorHAnsi" w:hAnsiTheme="majorHAnsi"/>
        </w:rPr>
      </w:pPr>
      <w:r w:rsidRPr="004E06C8">
        <w:rPr>
          <w:rFonts w:asciiTheme="majorHAnsi" w:hAnsiTheme="majorHAnsi"/>
        </w:rPr>
        <w:t>Oddálení klinicky významného outcome (čas do progrese onemocnění, čas do hospitalizace, doba setrvání na léčbě, oddálení klinicky významných projevů onemocnění jako např. fraktura při osteopor</w:t>
      </w:r>
      <w:r w:rsidR="00797ABB">
        <w:rPr>
          <w:rFonts w:asciiTheme="majorHAnsi" w:hAnsiTheme="majorHAnsi"/>
        </w:rPr>
        <w:t>óz</w:t>
      </w:r>
      <w:r w:rsidRPr="004E06C8">
        <w:rPr>
          <w:rFonts w:asciiTheme="majorHAnsi" w:hAnsiTheme="majorHAnsi"/>
        </w:rPr>
        <w:t>e atd.) je benefit vhodný pro</w:t>
      </w:r>
      <w:r w:rsidRPr="004E06C8">
        <w:rPr>
          <w:rFonts w:asciiTheme="majorHAnsi" w:hAnsiTheme="majorHAnsi"/>
          <w:i/>
        </w:rPr>
        <w:t xml:space="preserve"> </w:t>
      </w:r>
      <w:r w:rsidRPr="004E06C8">
        <w:rPr>
          <w:rFonts w:asciiTheme="majorHAnsi" w:hAnsiTheme="majorHAnsi"/>
        </w:rPr>
        <w:t xml:space="preserve">onemocnění, kde nelze rozumně předpokládat, že během období klinické studie dojde k významné změně u počtu klinicky významných outcomes nebo u onemocnění, kde studovaná intervence je součástí terapeutických sekvencí, kde je pravděpodobné zkřížení studovaných intervencí. </w:t>
      </w:r>
    </w:p>
    <w:p w14:paraId="6FB6F9BD" w14:textId="77777777" w:rsidR="004E06C8" w:rsidRPr="004E06C8" w:rsidRDefault="004E06C8" w:rsidP="004E06C8">
      <w:pPr>
        <w:pStyle w:val="ListParagraph"/>
        <w:keepNext/>
        <w:numPr>
          <w:ilvl w:val="0"/>
          <w:numId w:val="9"/>
        </w:numPr>
        <w:spacing w:after="0" w:line="240" w:lineRule="auto"/>
        <w:rPr>
          <w:rFonts w:asciiTheme="majorHAnsi" w:hAnsiTheme="majorHAnsi"/>
        </w:rPr>
      </w:pPr>
      <w:r w:rsidRPr="004E06C8">
        <w:rPr>
          <w:rFonts w:asciiTheme="majorHAnsi" w:hAnsiTheme="majorHAnsi"/>
        </w:rPr>
        <w:t>Změna klinicky významného náhradního outcome (mmHg, FEV1, Hb1Ac, atd.) je benefit vhodný u onemocnění, kde náhradní outcome je obecně přijatelný. Je však nutno jej posuzovat velmi opatrně a přihlížet k významu daného outcome pro mortalitu a morbiditu při daném onemocnění.</w:t>
      </w:r>
    </w:p>
    <w:p w14:paraId="5997C77D" w14:textId="77777777" w:rsidR="004E06C8" w:rsidRPr="004E06C8" w:rsidRDefault="004E06C8" w:rsidP="004E06C8">
      <w:pPr>
        <w:pStyle w:val="ListParagraph"/>
        <w:rPr>
          <w:rFonts w:asciiTheme="majorHAnsi" w:hAnsiTheme="majorHAnsi"/>
        </w:rPr>
      </w:pPr>
    </w:p>
    <w:p w14:paraId="2ECCDBC1" w14:textId="77777777" w:rsidR="004E06C8" w:rsidRPr="004E06C8" w:rsidRDefault="004E06C8" w:rsidP="004E06C8">
      <w:pPr>
        <w:rPr>
          <w:rFonts w:asciiTheme="majorHAnsi" w:hAnsiTheme="majorHAnsi"/>
        </w:rPr>
      </w:pPr>
      <w:r w:rsidRPr="004E06C8">
        <w:rPr>
          <w:rFonts w:asciiTheme="majorHAnsi" w:hAnsiTheme="majorHAnsi"/>
        </w:rPr>
        <w:t xml:space="preserve">Jednotlivé parametry jsou často pro nemoc specifické a přesné určení není zcela jednoznačně proveditelné. Zároveň do těchto klinických ukazatelů paralelně vstupuje vliv na </w:t>
      </w:r>
      <w:r w:rsidRPr="004E06C8">
        <w:rPr>
          <w:rFonts w:asciiTheme="majorHAnsi" w:hAnsiTheme="majorHAnsi"/>
          <w:b/>
        </w:rPr>
        <w:t>QoL (PRO)</w:t>
      </w:r>
      <w:r w:rsidRPr="004E06C8">
        <w:rPr>
          <w:rFonts w:asciiTheme="majorHAnsi" w:hAnsiTheme="majorHAnsi"/>
        </w:rPr>
        <w:t xml:space="preserve"> kdy tento ukazatel může vždy „pozvednout“ jistý parametr v rámci jeho místa v hierarchii výše.</w:t>
      </w:r>
    </w:p>
    <w:p w14:paraId="0D7F0DB0" w14:textId="77777777" w:rsidR="004E06C8" w:rsidRPr="004E06C8" w:rsidRDefault="004E06C8" w:rsidP="004E06C8">
      <w:pPr>
        <w:spacing w:after="120"/>
        <w:rPr>
          <w:rFonts w:asciiTheme="majorHAnsi" w:hAnsiTheme="majorHAnsi"/>
        </w:rPr>
      </w:pPr>
      <w:r w:rsidRPr="004E06C8">
        <w:rPr>
          <w:rFonts w:asciiTheme="majorHAnsi" w:hAnsiTheme="majorHAnsi"/>
        </w:rPr>
        <w:t>Kvantifikace benefitů by měla vždy být provedeno relativně (CER/ REA – relative effectiveness assessement), tedy ve vztahu k předmětnému komparátoru/ komparátorům. Toto relativní vyjádření pak představuje RR (relative risk).</w:t>
      </w:r>
    </w:p>
    <w:p w14:paraId="5E3CD0AF" w14:textId="77777777" w:rsidR="004E06C8" w:rsidRPr="004E06C8" w:rsidRDefault="004E06C8" w:rsidP="004E06C8">
      <w:pPr>
        <w:rPr>
          <w:rFonts w:asciiTheme="majorHAnsi" w:hAnsiTheme="majorHAnsi"/>
        </w:rPr>
      </w:pPr>
    </w:p>
    <w:p w14:paraId="5E1EA8CE" w14:textId="77777777" w:rsidR="004E06C8" w:rsidRPr="004E06C8" w:rsidRDefault="004E06C8" w:rsidP="004E06C8">
      <w:pPr>
        <w:rPr>
          <w:rFonts w:asciiTheme="majorHAnsi" w:hAnsiTheme="majorHAnsi"/>
        </w:rPr>
      </w:pPr>
      <w:r w:rsidRPr="004E06C8">
        <w:rPr>
          <w:rFonts w:asciiTheme="majorHAnsi" w:hAnsiTheme="majorHAnsi"/>
          <w:b/>
          <w:bCs/>
        </w:rPr>
        <w:t>Kvantifikace benefitů</w:t>
      </w:r>
      <w:r w:rsidRPr="004E06C8">
        <w:rPr>
          <w:rFonts w:asciiTheme="majorHAnsi" w:hAnsiTheme="majorHAnsi"/>
        </w:rPr>
        <w:t xml:space="preserve"> by potom měla být následovná</w:t>
      </w:r>
    </w:p>
    <w:p w14:paraId="5C6BE53A" w14:textId="77777777" w:rsidR="004E06C8" w:rsidRPr="004E06C8" w:rsidRDefault="004E06C8" w:rsidP="004E06C8">
      <w:pPr>
        <w:rPr>
          <w:rFonts w:asciiTheme="majorHAnsi" w:hAnsiTheme="majorHAnsi"/>
        </w:rPr>
      </w:pPr>
      <w:r w:rsidRPr="004E06C8">
        <w:rPr>
          <w:rFonts w:asciiTheme="majorHAnsi" w:hAnsiTheme="majorHAnsi"/>
          <w:u w:val="single"/>
        </w:rPr>
        <w:t>Výrazně lepší než komparátor</w:t>
      </w:r>
      <w:r w:rsidRPr="004E06C8">
        <w:rPr>
          <w:rFonts w:asciiTheme="majorHAnsi" w:hAnsiTheme="majorHAnsi"/>
        </w:rPr>
        <w:t>: statisticky významně lepší, než komparátor, přitom RR je rovno či nižší, než 0,70 v případě, že sledovaným výsledkem je celkové přežití, RR je 0,60 nebo nižší, je-li sledovaným výsledkem závažné symptomy nebo komplikace onemocnění, kvalita života či závažné nežádoucí účinky</w:t>
      </w:r>
    </w:p>
    <w:p w14:paraId="3245CB45" w14:textId="77777777" w:rsidR="004E06C8" w:rsidRPr="004E06C8" w:rsidRDefault="004E06C8" w:rsidP="004E06C8">
      <w:pPr>
        <w:rPr>
          <w:rFonts w:asciiTheme="majorHAnsi" w:hAnsiTheme="majorHAnsi"/>
        </w:rPr>
      </w:pPr>
      <w:r w:rsidRPr="004E06C8">
        <w:rPr>
          <w:rFonts w:asciiTheme="majorHAnsi" w:hAnsiTheme="majorHAnsi"/>
          <w:u w:val="single"/>
        </w:rPr>
        <w:t>Lepší než komparátor</w:t>
      </w:r>
      <w:r w:rsidRPr="004E06C8">
        <w:rPr>
          <w:rFonts w:asciiTheme="majorHAnsi" w:hAnsiTheme="majorHAnsi"/>
        </w:rPr>
        <w:t>: statisticky významně lepší, než komparátor</w:t>
      </w:r>
    </w:p>
    <w:p w14:paraId="3A93F0CE" w14:textId="77777777" w:rsidR="004E06C8" w:rsidRPr="004E06C8" w:rsidRDefault="004E06C8" w:rsidP="004E06C8">
      <w:pPr>
        <w:rPr>
          <w:rFonts w:asciiTheme="majorHAnsi" w:hAnsiTheme="majorHAnsi"/>
        </w:rPr>
      </w:pPr>
      <w:r w:rsidRPr="004E06C8">
        <w:rPr>
          <w:rFonts w:asciiTheme="majorHAnsi" w:hAnsiTheme="majorHAnsi"/>
          <w:u w:val="single"/>
        </w:rPr>
        <w:t>Stejný jako komparátor</w:t>
      </w:r>
      <w:r w:rsidRPr="004E06C8">
        <w:rPr>
          <w:rFonts w:asciiTheme="majorHAnsi" w:hAnsiTheme="majorHAnsi"/>
        </w:rPr>
        <w:t>: prokázaná non-inferiorita proti komparátoru</w:t>
      </w:r>
    </w:p>
    <w:p w14:paraId="5889E766" w14:textId="77777777" w:rsidR="004E06C8" w:rsidRPr="004E06C8" w:rsidRDefault="004E06C8" w:rsidP="004E06C8">
      <w:pPr>
        <w:rPr>
          <w:rFonts w:asciiTheme="majorHAnsi" w:hAnsiTheme="majorHAnsi"/>
        </w:rPr>
      </w:pPr>
      <w:r w:rsidRPr="004E06C8">
        <w:rPr>
          <w:rFonts w:asciiTheme="majorHAnsi" w:hAnsiTheme="majorHAnsi"/>
          <w:u w:val="single"/>
        </w:rPr>
        <w:lastRenderedPageBreak/>
        <w:t>Horší, než komparátor</w:t>
      </w:r>
      <w:r w:rsidRPr="004E06C8">
        <w:rPr>
          <w:rFonts w:asciiTheme="majorHAnsi" w:hAnsiTheme="majorHAnsi"/>
        </w:rPr>
        <w:t>: neprokázaná non-inferiorita nebo prokázaná superiorita komparátoru</w:t>
      </w:r>
    </w:p>
    <w:p w14:paraId="3D7F28B8" w14:textId="77777777" w:rsidR="004E06C8" w:rsidRPr="004E06C8" w:rsidRDefault="004E06C8" w:rsidP="004E06C8">
      <w:pPr>
        <w:rPr>
          <w:rFonts w:asciiTheme="majorHAnsi" w:hAnsiTheme="majorHAnsi"/>
        </w:rPr>
      </w:pPr>
    </w:p>
    <w:p w14:paraId="5249ED90" w14:textId="77777777" w:rsidR="004E06C8" w:rsidRPr="004E06C8" w:rsidRDefault="004E06C8" w:rsidP="004E06C8">
      <w:pPr>
        <w:rPr>
          <w:rFonts w:asciiTheme="majorHAnsi" w:hAnsiTheme="majorHAnsi"/>
        </w:rPr>
      </w:pPr>
      <w:r w:rsidRPr="004E06C8">
        <w:rPr>
          <w:rFonts w:asciiTheme="majorHAnsi" w:hAnsiTheme="majorHAnsi"/>
        </w:rPr>
        <w:t>Hodnoty relativního rizika nelze brát jako dogma, ale je vhodné přihlížet i k absolutním hodnotám (hlavně tam, kde prevalence nemoci je tak vysoká, že i relativně nižší změna relativního rizika po intervenci znamená vysokou absolutní změnu v pozitivním výsledku.</w:t>
      </w:r>
    </w:p>
    <w:p w14:paraId="5FB2F7E7" w14:textId="77777777" w:rsidR="004E06C8" w:rsidRPr="004E06C8" w:rsidRDefault="004E06C8" w:rsidP="004E06C8">
      <w:pPr>
        <w:rPr>
          <w:rFonts w:asciiTheme="majorHAnsi" w:hAnsiTheme="majorHAnsi"/>
          <w:b/>
        </w:rPr>
      </w:pPr>
      <w:r w:rsidRPr="004E06C8">
        <w:rPr>
          <w:rFonts w:asciiTheme="majorHAnsi" w:hAnsiTheme="majorHAnsi"/>
          <w:b/>
        </w:rPr>
        <w:t>Stanovení rizik</w:t>
      </w:r>
    </w:p>
    <w:p w14:paraId="180FFEB0" w14:textId="77777777" w:rsidR="004E06C8" w:rsidRPr="004E06C8" w:rsidRDefault="004E06C8" w:rsidP="004E06C8">
      <w:pPr>
        <w:rPr>
          <w:rFonts w:asciiTheme="majorHAnsi" w:hAnsiTheme="majorHAnsi"/>
        </w:rPr>
      </w:pPr>
      <w:r w:rsidRPr="004E06C8">
        <w:rPr>
          <w:rFonts w:asciiTheme="majorHAnsi" w:hAnsiTheme="majorHAnsi"/>
        </w:rPr>
        <w:t xml:space="preserve">Z výše uvedených zdrojů dat a z běžné klinické praxe (hlášení nežádoucích účinků) lze stanovit i rizika jednotlivých intervencí. Tato rizika je nutno stanovovat ve dvou rozměrech: závažnost a četnost. Porovnáním rizik s již akceptovanou intervencí (intervencemi) lze zhodnotit rizika na ordinální škále. </w:t>
      </w:r>
    </w:p>
    <w:p w14:paraId="38AA6F25" w14:textId="77777777" w:rsidR="004E06C8" w:rsidRPr="004E06C8" w:rsidRDefault="004E06C8" w:rsidP="004E06C8">
      <w:pPr>
        <w:rPr>
          <w:rFonts w:asciiTheme="majorHAnsi" w:hAnsiTheme="majorHAnsi"/>
        </w:rPr>
      </w:pPr>
      <w:r w:rsidRPr="004E06C8">
        <w:rPr>
          <w:rFonts w:asciiTheme="majorHAnsi" w:hAnsiTheme="majorHAnsi"/>
        </w:rPr>
        <w:t>Zde se nabízí dělení rizik spojených s užíváním technologie v porovnání s jejím komparátorem dle závažnosti nežádoucích účinků (NÚ), a to dle WHO:</w:t>
      </w:r>
    </w:p>
    <w:p w14:paraId="7D76A3AC" w14:textId="77777777" w:rsidR="004E06C8" w:rsidRPr="004E06C8" w:rsidRDefault="004E06C8" w:rsidP="004E06C8">
      <w:pPr>
        <w:jc w:val="both"/>
        <w:rPr>
          <w:rFonts w:asciiTheme="majorHAnsi" w:hAnsiTheme="majorHAnsi"/>
        </w:rPr>
      </w:pPr>
      <w:r w:rsidRPr="004E06C8">
        <w:rPr>
          <w:rFonts w:asciiTheme="majorHAnsi" w:hAnsiTheme="majorHAnsi"/>
          <w:b/>
        </w:rPr>
        <w:t>Grade 1, 2:</w:t>
      </w:r>
      <w:r w:rsidRPr="004E06C8">
        <w:rPr>
          <w:rFonts w:asciiTheme="majorHAnsi" w:hAnsiTheme="majorHAnsi"/>
        </w:rPr>
        <w:t xml:space="preserve">  Minimální, nebo klinicky nezávažné NÚ</w:t>
      </w:r>
    </w:p>
    <w:p w14:paraId="4B71F764" w14:textId="77777777" w:rsidR="004E06C8" w:rsidRPr="004E06C8" w:rsidRDefault="004E06C8" w:rsidP="004E06C8">
      <w:pPr>
        <w:jc w:val="both"/>
        <w:rPr>
          <w:rFonts w:asciiTheme="majorHAnsi" w:hAnsiTheme="majorHAnsi"/>
        </w:rPr>
      </w:pPr>
      <w:r w:rsidRPr="004E06C8">
        <w:rPr>
          <w:rFonts w:asciiTheme="majorHAnsi" w:hAnsiTheme="majorHAnsi"/>
          <w:b/>
        </w:rPr>
        <w:t>Grade 3, 4</w:t>
      </w:r>
      <w:r w:rsidRPr="004E06C8">
        <w:rPr>
          <w:rFonts w:asciiTheme="majorHAnsi" w:hAnsiTheme="majorHAnsi"/>
        </w:rPr>
        <w:t>: Klinicky závažné NÚ, způsobující hospitalizaci, resp. ohrožující život pacienta</w:t>
      </w:r>
    </w:p>
    <w:p w14:paraId="41D7CD1E" w14:textId="77777777" w:rsidR="004E06C8" w:rsidRPr="004E06C8" w:rsidRDefault="004E06C8" w:rsidP="004E06C8">
      <w:pPr>
        <w:rPr>
          <w:rFonts w:asciiTheme="majorHAnsi" w:hAnsiTheme="majorHAnsi"/>
        </w:rPr>
      </w:pPr>
      <w:r w:rsidRPr="004E06C8">
        <w:rPr>
          <w:rFonts w:asciiTheme="majorHAnsi" w:hAnsiTheme="majorHAnsi"/>
        </w:rPr>
        <w:t>Jednoduchá kvantifikace s ohledem na více komparátorů není zcela proveditelná, kdy léky v jedné indikaci s rozdílným mechanismem účinku vykazují zcela rozdílnou bezpečnost/ snášenlivost</w:t>
      </w:r>
    </w:p>
    <w:p w14:paraId="0EE4C90D" w14:textId="77777777" w:rsidR="004E06C8" w:rsidRPr="004E06C8" w:rsidRDefault="004E06C8" w:rsidP="004E06C8">
      <w:pPr>
        <w:rPr>
          <w:rFonts w:asciiTheme="majorHAnsi" w:hAnsiTheme="majorHAnsi"/>
          <w:b/>
        </w:rPr>
      </w:pPr>
    </w:p>
    <w:p w14:paraId="7A01A055" w14:textId="77777777" w:rsidR="004E06C8" w:rsidRPr="004E06C8" w:rsidRDefault="004E06C8" w:rsidP="004E06C8">
      <w:pPr>
        <w:rPr>
          <w:rFonts w:asciiTheme="majorHAnsi" w:hAnsiTheme="majorHAnsi"/>
          <w:b/>
        </w:rPr>
      </w:pPr>
      <w:r w:rsidRPr="004E06C8">
        <w:rPr>
          <w:rFonts w:asciiTheme="majorHAnsi" w:hAnsiTheme="majorHAnsi"/>
          <w:b/>
        </w:rPr>
        <w:t>Výsledky a závěr</w:t>
      </w:r>
    </w:p>
    <w:p w14:paraId="20B3A4D9" w14:textId="77777777" w:rsidR="004E06C8" w:rsidRPr="004E06C8" w:rsidRDefault="004E06C8" w:rsidP="004E06C8">
      <w:pPr>
        <w:rPr>
          <w:rFonts w:asciiTheme="majorHAnsi" w:hAnsiTheme="majorHAnsi"/>
        </w:rPr>
      </w:pPr>
      <w:r w:rsidRPr="004E06C8">
        <w:rPr>
          <w:rFonts w:asciiTheme="majorHAnsi" w:hAnsiTheme="majorHAnsi"/>
        </w:rPr>
        <w:t xml:space="preserve">Výsledky comparative effectiveness by měly být předloženy ve strukturované formě: </w:t>
      </w:r>
    </w:p>
    <w:p w14:paraId="5C9F05B8" w14:textId="77777777" w:rsidR="004E06C8" w:rsidRPr="004E06C8" w:rsidRDefault="004E06C8" w:rsidP="004E06C8">
      <w:pPr>
        <w:numPr>
          <w:ilvl w:val="0"/>
          <w:numId w:val="10"/>
        </w:numPr>
        <w:spacing w:after="0" w:line="240" w:lineRule="auto"/>
        <w:rPr>
          <w:rFonts w:asciiTheme="majorHAnsi" w:hAnsiTheme="majorHAnsi"/>
        </w:rPr>
      </w:pPr>
      <w:r w:rsidRPr="004E06C8">
        <w:rPr>
          <w:rFonts w:asciiTheme="majorHAnsi" w:hAnsiTheme="majorHAnsi"/>
        </w:rPr>
        <w:t xml:space="preserve">Definice cíle </w:t>
      </w:r>
    </w:p>
    <w:p w14:paraId="5BAB51FD" w14:textId="77777777" w:rsidR="004E06C8" w:rsidRPr="004E06C8" w:rsidRDefault="004E06C8" w:rsidP="004E06C8">
      <w:pPr>
        <w:numPr>
          <w:ilvl w:val="0"/>
          <w:numId w:val="10"/>
        </w:numPr>
        <w:spacing w:after="0" w:line="240" w:lineRule="auto"/>
        <w:rPr>
          <w:rFonts w:asciiTheme="majorHAnsi" w:hAnsiTheme="majorHAnsi"/>
        </w:rPr>
      </w:pPr>
      <w:r w:rsidRPr="004E06C8">
        <w:rPr>
          <w:rFonts w:asciiTheme="majorHAnsi" w:hAnsiTheme="majorHAnsi"/>
        </w:rPr>
        <w:t>Definice a popis strategie vyhledávání</w:t>
      </w:r>
    </w:p>
    <w:p w14:paraId="56753133" w14:textId="77777777" w:rsidR="004E06C8" w:rsidRPr="004E06C8" w:rsidRDefault="004E06C8" w:rsidP="004E06C8">
      <w:pPr>
        <w:numPr>
          <w:ilvl w:val="0"/>
          <w:numId w:val="10"/>
        </w:numPr>
        <w:spacing w:after="0" w:line="240" w:lineRule="auto"/>
        <w:rPr>
          <w:rFonts w:asciiTheme="majorHAnsi" w:hAnsiTheme="majorHAnsi"/>
        </w:rPr>
      </w:pPr>
      <w:r w:rsidRPr="004E06C8">
        <w:rPr>
          <w:rFonts w:asciiTheme="majorHAnsi" w:hAnsiTheme="majorHAnsi"/>
        </w:rPr>
        <w:t>Jasná volba a popis způsobu vyhodnocení výsledků vyhledávání a jeho provedení</w:t>
      </w:r>
    </w:p>
    <w:p w14:paraId="68ED46A5" w14:textId="77777777" w:rsidR="004E06C8" w:rsidRPr="004E06C8" w:rsidRDefault="004E06C8" w:rsidP="004E06C8">
      <w:pPr>
        <w:ind w:left="720"/>
        <w:rPr>
          <w:rFonts w:asciiTheme="majorHAnsi" w:hAnsiTheme="majorHAnsi"/>
        </w:rPr>
      </w:pPr>
      <w:r w:rsidRPr="004E06C8">
        <w:rPr>
          <w:rFonts w:asciiTheme="majorHAnsi" w:hAnsiTheme="majorHAnsi"/>
        </w:rPr>
        <w:t>(se zvláštním zřetelem k dosud nepublikovaným meta-analýzám, nepřímým srovnáním a network meta-analýzám)</w:t>
      </w:r>
    </w:p>
    <w:p w14:paraId="71BC0EF7" w14:textId="77777777" w:rsidR="004E06C8" w:rsidRPr="004E06C8" w:rsidRDefault="004E06C8" w:rsidP="004E06C8">
      <w:pPr>
        <w:pStyle w:val="ListParagraph"/>
        <w:numPr>
          <w:ilvl w:val="0"/>
          <w:numId w:val="10"/>
        </w:numPr>
        <w:spacing w:after="0" w:line="240" w:lineRule="auto"/>
        <w:rPr>
          <w:rFonts w:asciiTheme="majorHAnsi" w:hAnsiTheme="majorHAnsi"/>
        </w:rPr>
      </w:pPr>
      <w:r w:rsidRPr="004E06C8">
        <w:rPr>
          <w:rFonts w:asciiTheme="majorHAnsi" w:hAnsiTheme="majorHAnsi"/>
        </w:rPr>
        <w:t>Zhodnocení a závěr</w:t>
      </w:r>
    </w:p>
    <w:p w14:paraId="56971091" w14:textId="77777777" w:rsidR="004E06C8" w:rsidRPr="004E06C8" w:rsidRDefault="004E06C8" w:rsidP="004E06C8">
      <w:pPr>
        <w:rPr>
          <w:rFonts w:asciiTheme="majorHAnsi" w:hAnsiTheme="majorHAnsi"/>
        </w:rPr>
      </w:pPr>
    </w:p>
    <w:p w14:paraId="7C6367CF" w14:textId="77777777" w:rsidR="004E06C8" w:rsidRPr="004E06C8" w:rsidRDefault="004E06C8" w:rsidP="004E06C8">
      <w:pPr>
        <w:rPr>
          <w:rFonts w:asciiTheme="majorHAnsi" w:hAnsiTheme="majorHAnsi"/>
        </w:rPr>
      </w:pPr>
      <w:r w:rsidRPr="004E06C8">
        <w:rPr>
          <w:rFonts w:asciiTheme="majorHAnsi" w:hAnsiTheme="majorHAnsi"/>
        </w:rPr>
        <w:t>I při zachování všech postupů popsaných v této metodice může nastat situace, kdy přesnější zhodnocení (bráno v kontextu dostupných údajů v čase hodnocení) může být dosaženo zahrnutím názoru expertů. I tento přístup však musí být jasně definován, dokumentován, a otevřen přezkumu v době, kdy bude k dispozici více dat.</w:t>
      </w:r>
    </w:p>
    <w:p w14:paraId="0C9267F0" w14:textId="77777777" w:rsidR="004E06C8" w:rsidRPr="004E06C8" w:rsidRDefault="004E06C8" w:rsidP="004E06C8">
      <w:pPr>
        <w:ind w:left="720"/>
        <w:rPr>
          <w:rFonts w:asciiTheme="majorHAnsi" w:hAnsiTheme="majorHAnsi"/>
        </w:rPr>
      </w:pPr>
    </w:p>
    <w:p w14:paraId="67AA1FDA" w14:textId="77777777" w:rsidR="004E06C8" w:rsidRPr="004E06C8" w:rsidRDefault="004E06C8" w:rsidP="004E06C8">
      <w:pPr>
        <w:ind w:left="720"/>
        <w:rPr>
          <w:rFonts w:asciiTheme="majorHAnsi" w:hAnsiTheme="majorHAnsi"/>
        </w:rPr>
      </w:pPr>
    </w:p>
    <w:p w14:paraId="0494DAD8" w14:textId="77777777" w:rsidR="004E06C8" w:rsidRPr="004E06C8" w:rsidRDefault="004E06C8" w:rsidP="004E06C8">
      <w:pPr>
        <w:ind w:left="720"/>
        <w:rPr>
          <w:rFonts w:asciiTheme="majorHAnsi" w:hAnsiTheme="majorHAnsi"/>
        </w:rPr>
      </w:pPr>
    </w:p>
    <w:p w14:paraId="5D9C527B" w14:textId="77777777" w:rsidR="004E06C8" w:rsidRPr="004E06C8" w:rsidRDefault="004E06C8" w:rsidP="004E06C8">
      <w:pPr>
        <w:rPr>
          <w:rFonts w:asciiTheme="majorHAnsi" w:hAnsiTheme="majorHAnsi"/>
        </w:rPr>
      </w:pPr>
    </w:p>
    <w:p w14:paraId="44B143C7" w14:textId="74E443FF" w:rsidR="00F77D82" w:rsidRPr="004E06C8" w:rsidRDefault="00F77D82" w:rsidP="00F77D82">
      <w:pPr>
        <w:rPr>
          <w:rFonts w:asciiTheme="majorHAnsi" w:hAnsiTheme="majorHAnsi"/>
          <w:b/>
          <w:u w:val="single"/>
        </w:rPr>
      </w:pPr>
      <w:r>
        <w:rPr>
          <w:rFonts w:asciiTheme="majorHAnsi" w:hAnsiTheme="majorHAnsi"/>
          <w:b/>
          <w:u w:val="single"/>
        </w:rPr>
        <w:lastRenderedPageBreak/>
        <w:t>3.2. Výběr srovnávané intervence (komparátoru)</w:t>
      </w:r>
    </w:p>
    <w:p w14:paraId="5115137F" w14:textId="77777777" w:rsidR="004E06C8" w:rsidRPr="004E06C8" w:rsidRDefault="004E06C8" w:rsidP="004E06C8">
      <w:pPr>
        <w:rPr>
          <w:rFonts w:asciiTheme="majorHAnsi" w:hAnsiTheme="majorHAnsi"/>
        </w:rPr>
      </w:pPr>
    </w:p>
    <w:p w14:paraId="3A54B4B3" w14:textId="77777777" w:rsidR="00F77D82" w:rsidRDefault="00F77D82" w:rsidP="00F77D82">
      <w:r>
        <w:t xml:space="preserve">Výběr vhodného a relevantního komparátoru je klíčovým momentem srovnávací (komparativní) analýzy. Ačkoliv v současné době není jasně doporučován výběr vhodného komparátoru v kontextu CER/REA, jeho výběr a definice jsou podrobně popsány v dokumentech týkající se analýzy nákladové efektivity. Vzhledem k tomu, že analýza nákladové efektivity vychází z dostupné klinické evidence a </w:t>
      </w:r>
      <w:r>
        <w:rPr>
          <w:i/>
        </w:rPr>
        <w:t>de facto</w:t>
      </w:r>
      <w:r>
        <w:t xml:space="preserve"> přidává k této evidenci ještě preference pacienta a náklady, považujeme za relevantní inspirovat se již uplatňovanými doporučeními ČFES a SÚKL, v neposlední řadě vycházíme z doporučení zahraničních HTA agentur a evropské EUnetHTA.</w:t>
      </w:r>
    </w:p>
    <w:p w14:paraId="5EA5033A" w14:textId="77777777" w:rsidR="00F77D82" w:rsidRPr="00CD01EF" w:rsidRDefault="00F77D82" w:rsidP="00F77D82">
      <w:r>
        <w:t>Dokument si zároveň dává za cíl popsat postup pro výběr vhodného komparátoru nikoli pouze obecně, ale konkrétně ve vztahu k podmínkám České republiky a současné farmakoekonomické praxe, především aplikovaných farmakoekonomických analýz předkládaných a hodnocených v rámci stanovování výše a podmínek úhrad.</w:t>
      </w:r>
    </w:p>
    <w:p w14:paraId="08756915" w14:textId="77777777" w:rsidR="00F77D82" w:rsidRPr="00895F4D" w:rsidRDefault="00F77D82" w:rsidP="00F77D82">
      <w:pPr>
        <w:pStyle w:val="Heading1"/>
        <w:rPr>
          <w:rFonts w:asciiTheme="majorHAnsi" w:hAnsiTheme="majorHAnsi"/>
        </w:rPr>
      </w:pPr>
      <w:r w:rsidRPr="00895F4D">
        <w:rPr>
          <w:rFonts w:asciiTheme="majorHAnsi" w:hAnsiTheme="majorHAnsi"/>
        </w:rPr>
        <w:t>DEFINICE</w:t>
      </w:r>
    </w:p>
    <w:p w14:paraId="1B4CFB1C" w14:textId="77777777" w:rsidR="00F77D82" w:rsidRPr="00895F4D" w:rsidRDefault="00F77D82" w:rsidP="00F77D82">
      <w:pPr>
        <w:pStyle w:val="Heading2"/>
        <w:rPr>
          <w:rFonts w:asciiTheme="majorHAnsi" w:hAnsiTheme="majorHAnsi"/>
        </w:rPr>
      </w:pPr>
      <w:r w:rsidRPr="00895F4D">
        <w:rPr>
          <w:rFonts w:asciiTheme="majorHAnsi" w:hAnsiTheme="majorHAnsi"/>
        </w:rPr>
        <w:t>Podle směrnice ČFES</w:t>
      </w:r>
    </w:p>
    <w:p w14:paraId="734A28A7" w14:textId="77777777" w:rsidR="00F77D82" w:rsidRPr="00895F4D" w:rsidRDefault="00F77D82" w:rsidP="00F77D82">
      <w:pPr>
        <w:rPr>
          <w:rFonts w:asciiTheme="majorHAnsi" w:hAnsiTheme="majorHAnsi"/>
        </w:rPr>
      </w:pPr>
      <w:r w:rsidRPr="00895F4D">
        <w:rPr>
          <w:rFonts w:asciiTheme="majorHAnsi" w:hAnsiTheme="majorHAnsi"/>
        </w:rPr>
        <w:t xml:space="preserve">V rámci farmakoekonomického hodnocení se nová vstupující intervence porovnává v kontextu stávající léčebné (preventivní, diagnostické) praxe. Srovnávaná intervence (komparátor) je taková, která bude v praxi v rámci cílové populace novou intervencí nahrazována, tj. taková zdravotní péče, která je poskytována před vstupem nové intervence. </w:t>
      </w:r>
    </w:p>
    <w:p w14:paraId="7F067371" w14:textId="77777777" w:rsidR="00F77D82" w:rsidRPr="00895F4D" w:rsidRDefault="00F77D82" w:rsidP="00F77D82">
      <w:pPr>
        <w:rPr>
          <w:rFonts w:asciiTheme="majorHAnsi" w:hAnsiTheme="majorHAnsi"/>
        </w:rPr>
      </w:pPr>
      <w:r w:rsidRPr="00895F4D">
        <w:rPr>
          <w:rFonts w:asciiTheme="majorHAnsi" w:hAnsiTheme="majorHAnsi"/>
        </w:rPr>
        <w:t xml:space="preserve">Pokud je v praxi užíváno více metod, je vhodné provést porovnání s více komparátory. Komparátorem nemusí být jediný přístup, může se jednat také o „terapeutický mix“, který je v reálné klinické praxi používán. Rovněž tak může být komparátorem zdravotní péče bez aktivní (farmakologické či jiné intervenční) léčby, pokud je takový přístup v praxi běžně používán, v takovémto případě je hodnocená intervence považována jako </w:t>
      </w:r>
      <w:r w:rsidRPr="00895F4D">
        <w:rPr>
          <w:rFonts w:asciiTheme="majorHAnsi" w:hAnsiTheme="majorHAnsi"/>
          <w:i/>
        </w:rPr>
        <w:t>add-on therapy</w:t>
      </w:r>
      <w:r w:rsidRPr="00895F4D">
        <w:rPr>
          <w:rFonts w:asciiTheme="majorHAnsi" w:hAnsiTheme="majorHAnsi"/>
        </w:rPr>
        <w:t>.</w:t>
      </w:r>
    </w:p>
    <w:p w14:paraId="3587C218" w14:textId="77777777" w:rsidR="00F77D82" w:rsidRPr="00895F4D" w:rsidRDefault="00F77D82" w:rsidP="00F77D82">
      <w:pPr>
        <w:rPr>
          <w:rFonts w:asciiTheme="majorHAnsi" w:hAnsiTheme="majorHAnsi"/>
        </w:rPr>
      </w:pPr>
    </w:p>
    <w:p w14:paraId="342DD8ED" w14:textId="77777777" w:rsidR="00F77D82" w:rsidRPr="00895F4D" w:rsidRDefault="00F77D82" w:rsidP="00F77D82">
      <w:pPr>
        <w:pStyle w:val="Heading2"/>
        <w:rPr>
          <w:rFonts w:asciiTheme="majorHAnsi" w:hAnsiTheme="majorHAnsi"/>
        </w:rPr>
      </w:pPr>
      <w:r w:rsidRPr="00895F4D">
        <w:rPr>
          <w:rFonts w:asciiTheme="majorHAnsi" w:hAnsiTheme="majorHAnsi"/>
        </w:rPr>
        <w:t>Podle metodiky SÚKL</w:t>
      </w:r>
    </w:p>
    <w:p w14:paraId="5DE7DD81" w14:textId="77777777" w:rsidR="00F77D82" w:rsidRPr="00895F4D" w:rsidRDefault="00F77D82" w:rsidP="00F77D82">
      <w:pPr>
        <w:rPr>
          <w:rFonts w:asciiTheme="majorHAnsi" w:hAnsiTheme="majorHAnsi"/>
        </w:rPr>
      </w:pPr>
      <w:r w:rsidRPr="00895F4D">
        <w:rPr>
          <w:rFonts w:asciiTheme="majorHAnsi" w:hAnsiTheme="majorHAnsi"/>
        </w:rPr>
        <w:t>Srovnávaná intervence (SI, komparátor) – Terapeutický postup hrazený z prostředků zdravotního pojištění (LP/PZLÚ nebo jiný léčebný postup), který je v dané indikaci obecně přijímán jako obvyklý (viz dále).</w:t>
      </w:r>
    </w:p>
    <w:p w14:paraId="23297CCD" w14:textId="77777777" w:rsidR="00F77D82" w:rsidRPr="00895F4D" w:rsidRDefault="00F77D82" w:rsidP="00F77D82">
      <w:pPr>
        <w:rPr>
          <w:rFonts w:asciiTheme="majorHAnsi" w:hAnsiTheme="majorHAnsi"/>
        </w:rPr>
      </w:pPr>
      <w:r w:rsidRPr="00895F4D">
        <w:rPr>
          <w:rFonts w:asciiTheme="majorHAnsi" w:hAnsiTheme="majorHAnsi"/>
        </w:rPr>
        <w:t xml:space="preserve">Srovnávaná intervence (komparátor) je terapeutický postup, který je v terapii daného onemocnění cílové skupiny pacientů přijímán jako obvyklý pro dané stádium onemocnění a linii jeho léčby a je současně hrazen z prostředků zdravotního pojištění vč. tzv. </w:t>
      </w:r>
      <w:r w:rsidRPr="00895F4D">
        <w:rPr>
          <w:rFonts w:asciiTheme="majorHAnsi" w:hAnsiTheme="majorHAnsi"/>
          <w:i/>
        </w:rPr>
        <w:t>off-label</w:t>
      </w:r>
      <w:r w:rsidRPr="00895F4D">
        <w:rPr>
          <w:rFonts w:asciiTheme="majorHAnsi" w:hAnsiTheme="majorHAnsi"/>
        </w:rPr>
        <w:t xml:space="preserve"> indikací, pokud jsou hrazeny. Pokud existuje více takových obvyklých intervencí, nebo nelze jednoznačně říci, která intervence je přijímána jako obvyklá, nebo u významné části pacientů se používá i jiný typ intervence, mělo by být v předloženém farmakoekonomickém hodnocení přítomno srovnání proti více komparátorům (</w:t>
      </w:r>
      <w:r w:rsidRPr="00895F4D">
        <w:rPr>
          <w:rFonts w:asciiTheme="majorHAnsi" w:hAnsiTheme="majorHAnsi"/>
          <w:i/>
        </w:rPr>
        <w:t>multiple-treatment comparison</w:t>
      </w:r>
      <w:r w:rsidRPr="00895F4D">
        <w:rPr>
          <w:rFonts w:asciiTheme="majorHAnsi" w:hAnsiTheme="majorHAnsi"/>
        </w:rPr>
        <w:t xml:space="preserve">). Pokud se hodnocená intervence přidává k současné terapii (tzv. </w:t>
      </w:r>
      <w:r w:rsidRPr="00895F4D">
        <w:rPr>
          <w:rFonts w:asciiTheme="majorHAnsi" w:hAnsiTheme="majorHAnsi"/>
          <w:i/>
        </w:rPr>
        <w:t>add-on terapie</w:t>
      </w:r>
      <w:r w:rsidRPr="00895F4D">
        <w:rPr>
          <w:rFonts w:asciiTheme="majorHAnsi" w:hAnsiTheme="majorHAnsi"/>
        </w:rPr>
        <w:t xml:space="preserve">) za účelem např. zlepšení výsledků léčby, měl by zpravidla autor farmakoekonomického hodnocení provést srovnání stavu s add-on terapií oproti stavu bez </w:t>
      </w:r>
      <w:r w:rsidRPr="00895F4D">
        <w:rPr>
          <w:rFonts w:asciiTheme="majorHAnsi" w:hAnsiTheme="majorHAnsi"/>
          <w:i/>
        </w:rPr>
        <w:t>add-on</w:t>
      </w:r>
      <w:r w:rsidRPr="00895F4D">
        <w:rPr>
          <w:rFonts w:asciiTheme="majorHAnsi" w:hAnsiTheme="majorHAnsi"/>
        </w:rPr>
        <w:t xml:space="preserve"> terapie. V případě, že prokazatelně neexistuje aktivní komparátor (např.: </w:t>
      </w:r>
      <w:r w:rsidRPr="00895F4D">
        <w:rPr>
          <w:rFonts w:asciiTheme="majorHAnsi" w:hAnsiTheme="majorHAnsi"/>
        </w:rPr>
        <w:lastRenderedPageBreak/>
        <w:t>hodnocená intervence se používá v poslední linii léčby), mělo by hodnocení být provedeno porovnáním stavů s hodnocenou intervencí a bez hodnocené intervence.</w:t>
      </w:r>
    </w:p>
    <w:p w14:paraId="09A57D46" w14:textId="77777777" w:rsidR="00F77D82" w:rsidRPr="00895F4D" w:rsidRDefault="00F77D82" w:rsidP="00F77D82">
      <w:pPr>
        <w:rPr>
          <w:rFonts w:asciiTheme="majorHAnsi" w:hAnsiTheme="majorHAnsi"/>
        </w:rPr>
      </w:pPr>
      <w:r w:rsidRPr="00895F4D">
        <w:rPr>
          <w:rFonts w:asciiTheme="majorHAnsi" w:hAnsiTheme="majorHAnsi"/>
        </w:rPr>
        <w:t>Hrazený terapeutický postup znamená, že jde o LP/PZLÚ nebo jiný terapeutický postup, který je trvale hrazený z prostředků zdravotního pojištění. Nejde tedy o LP/PZLÚ hrazený na základě výjimečných úhradových mechanismů jako je dočasná úhrada vysoce inovativního léčivého přípravku nebo mimořádnou nenárokovatelnou úhradu pro konkrétního pacienta podle § 16 zákona o veřejném zdravotním pojištění.</w:t>
      </w:r>
    </w:p>
    <w:p w14:paraId="2CC38DC5" w14:textId="77777777" w:rsidR="00F77D82" w:rsidRPr="00895F4D" w:rsidRDefault="00F77D82" w:rsidP="00F77D82">
      <w:pPr>
        <w:rPr>
          <w:rFonts w:asciiTheme="majorHAnsi" w:hAnsiTheme="majorHAnsi"/>
        </w:rPr>
      </w:pPr>
      <w:r w:rsidRPr="00895F4D">
        <w:rPr>
          <w:rFonts w:asciiTheme="majorHAnsi" w:hAnsiTheme="majorHAnsi"/>
        </w:rPr>
        <w:t>Ústav zároveň nedoporučuje jako komparátor volit LP/PZLÚ hrazené v rámci ústavní péče z lékového paušálu (jejich náklady však například mohou v odůvodněných případech vstupovat do kalkulace nákladů hodnoceného zdravotního stavu). V těchto případech nebyla nákladová efektivita prokázána a jejich komparováním by došlo k přeskočení jedné části posouzení nákladové efektivity při vstupu do systému zdravotního pojištění.</w:t>
      </w:r>
    </w:p>
    <w:p w14:paraId="65227FE7" w14:textId="77777777" w:rsidR="00F77D82" w:rsidRPr="00895F4D" w:rsidRDefault="00F77D82" w:rsidP="00F77D82">
      <w:pPr>
        <w:rPr>
          <w:rFonts w:asciiTheme="majorHAnsi" w:hAnsiTheme="majorHAnsi"/>
        </w:rPr>
      </w:pPr>
      <w:r w:rsidRPr="00895F4D">
        <w:rPr>
          <w:rFonts w:asciiTheme="majorHAnsi" w:hAnsiTheme="majorHAnsi"/>
        </w:rPr>
        <w:t xml:space="preserve">Výběr komparátoru musí být řádně odůvodněn na základě dostupných doporučených postupů, klinických studií a klinických </w:t>
      </w:r>
      <w:r w:rsidRPr="00895F4D">
        <w:rPr>
          <w:rFonts w:asciiTheme="majorHAnsi" w:hAnsiTheme="majorHAnsi"/>
          <w:i/>
        </w:rPr>
        <w:t>review</w:t>
      </w:r>
      <w:r w:rsidRPr="00895F4D">
        <w:rPr>
          <w:rFonts w:asciiTheme="majorHAnsi" w:hAnsiTheme="majorHAnsi"/>
        </w:rPr>
        <w:t xml:space="preserve"> s ohledem na reálnou klinickou praxi v České republice. Úvahy, které autora farmakoekonomického hodnocení vedly k volbě konkrétního komparátoru, by měly být jasně popsány a doloženy důkazy.</w:t>
      </w:r>
    </w:p>
    <w:p w14:paraId="7791A9BD" w14:textId="77777777" w:rsidR="00F77D82" w:rsidRPr="00895F4D" w:rsidRDefault="00F77D82" w:rsidP="00F77D82">
      <w:pPr>
        <w:rPr>
          <w:rFonts w:asciiTheme="majorHAnsi" w:hAnsiTheme="majorHAnsi"/>
        </w:rPr>
      </w:pPr>
    </w:p>
    <w:p w14:paraId="2A29BC49" w14:textId="77777777" w:rsidR="00F77D82" w:rsidRPr="00895F4D" w:rsidRDefault="00F77D82" w:rsidP="00F77D82">
      <w:pPr>
        <w:pStyle w:val="Heading2"/>
        <w:rPr>
          <w:rFonts w:asciiTheme="majorHAnsi" w:hAnsiTheme="majorHAnsi"/>
        </w:rPr>
      </w:pPr>
      <w:r w:rsidRPr="00895F4D">
        <w:rPr>
          <w:rFonts w:asciiTheme="majorHAnsi" w:hAnsiTheme="majorHAnsi"/>
        </w:rPr>
        <w:t>Dle doporučení EUnetHTA</w:t>
      </w:r>
    </w:p>
    <w:p w14:paraId="1E29037B" w14:textId="77777777" w:rsidR="00F77D82" w:rsidRPr="00895F4D" w:rsidRDefault="00F77D82" w:rsidP="00F77D82">
      <w:pPr>
        <w:rPr>
          <w:rFonts w:asciiTheme="majorHAnsi" w:hAnsiTheme="majorHAnsi"/>
          <w:b/>
          <w:bCs/>
          <w:lang w:val="en-US"/>
        </w:rPr>
      </w:pPr>
      <w:r w:rsidRPr="00895F4D">
        <w:rPr>
          <w:rFonts w:asciiTheme="majorHAnsi" w:hAnsiTheme="majorHAnsi"/>
          <w:lang w:val="en-US"/>
        </w:rPr>
        <w:t>Recommendations on the choice of the most appropriate comparator depend on the specific assessment question in any REA (Relative effectiveness research). The recommendations below assume that the assessment question is to establish the relative effectiveness of a pharmaceutical compared with routine clinical care, the most used, or what would be replaced by the introduction of that new pharmaceutical.</w:t>
      </w:r>
    </w:p>
    <w:p w14:paraId="267739B0" w14:textId="77777777" w:rsidR="00F77D82" w:rsidRPr="00895F4D" w:rsidRDefault="00F77D82" w:rsidP="00F77D82">
      <w:pPr>
        <w:spacing w:after="0"/>
        <w:rPr>
          <w:rFonts w:asciiTheme="majorHAnsi" w:hAnsiTheme="majorHAnsi"/>
          <w:lang w:val="en-US"/>
        </w:rPr>
      </w:pPr>
      <w:r w:rsidRPr="00895F4D">
        <w:rPr>
          <w:rFonts w:asciiTheme="majorHAnsi" w:hAnsiTheme="majorHAnsi"/>
          <w:b/>
          <w:bCs/>
          <w:lang w:val="en-US"/>
        </w:rPr>
        <w:t xml:space="preserve">Recommendation 1 </w:t>
      </w:r>
    </w:p>
    <w:p w14:paraId="46ECCAA9" w14:textId="77777777" w:rsidR="00F77D82" w:rsidRPr="00895F4D" w:rsidRDefault="00F77D82" w:rsidP="00F77D82">
      <w:pPr>
        <w:pBdr>
          <w:top w:val="single" w:sz="4" w:space="1" w:color="auto"/>
          <w:left w:val="single" w:sz="4" w:space="4" w:color="auto"/>
          <w:bottom w:val="single" w:sz="4" w:space="1" w:color="auto"/>
          <w:right w:val="single" w:sz="4" w:space="4" w:color="auto"/>
        </w:pBdr>
        <w:rPr>
          <w:rFonts w:asciiTheme="majorHAnsi" w:hAnsiTheme="majorHAnsi"/>
          <w:lang w:val="en-US"/>
        </w:rPr>
      </w:pPr>
      <w:r w:rsidRPr="00895F4D">
        <w:rPr>
          <w:rFonts w:asciiTheme="majorHAnsi" w:hAnsiTheme="majorHAnsi"/>
          <w:lang w:val="en-US"/>
        </w:rPr>
        <w:t xml:space="preserve">Under ideal circumstances the comparator for a REA applicable across European countries should be the reference treatment according to up to date high-quality clinical practice guidelines at European or international level with good quality evidence on the efficacy and safety profile from published scientific literature, and with an EU marketing authorisation for the respective indication and line of treatment. </w:t>
      </w:r>
    </w:p>
    <w:p w14:paraId="0527984E" w14:textId="77777777" w:rsidR="00F77D82" w:rsidRPr="00895F4D" w:rsidRDefault="00F77D82" w:rsidP="00F77D82">
      <w:pPr>
        <w:spacing w:after="0"/>
        <w:rPr>
          <w:rFonts w:asciiTheme="majorHAnsi" w:hAnsiTheme="majorHAnsi"/>
          <w:b/>
          <w:bCs/>
          <w:lang w:val="en-US"/>
        </w:rPr>
      </w:pPr>
    </w:p>
    <w:p w14:paraId="5B0A92D2" w14:textId="77777777" w:rsidR="00F77D82" w:rsidRPr="00895F4D" w:rsidRDefault="00F77D82" w:rsidP="00F77D82">
      <w:pPr>
        <w:spacing w:after="0"/>
        <w:rPr>
          <w:rFonts w:asciiTheme="majorHAnsi" w:hAnsiTheme="majorHAnsi"/>
          <w:b/>
          <w:bCs/>
          <w:lang w:val="en-US"/>
        </w:rPr>
      </w:pPr>
      <w:r w:rsidRPr="00895F4D">
        <w:rPr>
          <w:rFonts w:asciiTheme="majorHAnsi" w:hAnsiTheme="majorHAnsi"/>
          <w:b/>
          <w:bCs/>
          <w:lang w:val="en-US"/>
        </w:rPr>
        <w:t xml:space="preserve">Recommendation 2 </w:t>
      </w:r>
    </w:p>
    <w:p w14:paraId="3FAF5BC1" w14:textId="77777777" w:rsidR="00F77D82" w:rsidRPr="00895F4D" w:rsidRDefault="00F77D82" w:rsidP="00F77D82">
      <w:pPr>
        <w:rPr>
          <w:rFonts w:asciiTheme="majorHAnsi" w:hAnsiTheme="majorHAnsi"/>
          <w:lang w:val="en-US"/>
        </w:rPr>
      </w:pPr>
      <w:r w:rsidRPr="00895F4D">
        <w:rPr>
          <w:rFonts w:asciiTheme="majorHAnsi" w:hAnsiTheme="majorHAnsi"/>
          <w:lang w:val="en-US"/>
        </w:rPr>
        <w:t xml:space="preserve">Where there is no European-wide agreed reference comparator </w:t>
      </w:r>
    </w:p>
    <w:p w14:paraId="455FD04F" w14:textId="77777777" w:rsidR="00F77D82" w:rsidRPr="00895F4D" w:rsidRDefault="00F77D82" w:rsidP="00F77D82">
      <w:pPr>
        <w:pStyle w:val="ListParagraph"/>
        <w:numPr>
          <w:ilvl w:val="0"/>
          <w:numId w:val="14"/>
        </w:numPr>
        <w:jc w:val="both"/>
        <w:rPr>
          <w:rFonts w:asciiTheme="majorHAnsi" w:hAnsiTheme="majorHAnsi"/>
          <w:lang w:val="en-US"/>
        </w:rPr>
      </w:pPr>
      <w:r w:rsidRPr="00895F4D">
        <w:rPr>
          <w:rFonts w:asciiTheme="majorHAnsi" w:hAnsiTheme="majorHAnsi"/>
          <w:lang w:val="en-US"/>
        </w:rPr>
        <w:t xml:space="preserve">evidence needs to be available that the chosen comparator intervention is routinely used in clinical practice (Recommendation 3) </w:t>
      </w:r>
    </w:p>
    <w:p w14:paraId="07C72E56" w14:textId="77777777" w:rsidR="00F77D82" w:rsidRPr="00895F4D" w:rsidRDefault="00F77D82" w:rsidP="00F77D82">
      <w:pPr>
        <w:pStyle w:val="ListParagraph"/>
        <w:numPr>
          <w:ilvl w:val="0"/>
          <w:numId w:val="14"/>
        </w:numPr>
        <w:jc w:val="both"/>
        <w:rPr>
          <w:rFonts w:asciiTheme="majorHAnsi" w:hAnsiTheme="majorHAnsi"/>
          <w:lang w:val="en-US"/>
        </w:rPr>
      </w:pPr>
      <w:r w:rsidRPr="00895F4D">
        <w:rPr>
          <w:rFonts w:asciiTheme="majorHAnsi" w:hAnsiTheme="majorHAnsi"/>
          <w:lang w:val="en-US"/>
        </w:rPr>
        <w:t xml:space="preserve">the comparator intervention is validated for the respective clinical indication/population and evidence is available (Recommendation 4) </w:t>
      </w:r>
    </w:p>
    <w:p w14:paraId="7F493F3A" w14:textId="77777777" w:rsidR="00F77D82" w:rsidRPr="00895F4D" w:rsidRDefault="00F77D82" w:rsidP="00F77D82">
      <w:pPr>
        <w:spacing w:after="0"/>
        <w:rPr>
          <w:rFonts w:asciiTheme="majorHAnsi" w:hAnsiTheme="majorHAnsi"/>
          <w:b/>
          <w:bCs/>
          <w:lang w:val="en-US"/>
        </w:rPr>
      </w:pPr>
    </w:p>
    <w:p w14:paraId="380B97CC" w14:textId="77777777" w:rsidR="00F77D82" w:rsidRPr="00895F4D" w:rsidRDefault="00F77D82" w:rsidP="00F77D82">
      <w:pPr>
        <w:spacing w:after="0"/>
        <w:rPr>
          <w:rFonts w:asciiTheme="majorHAnsi" w:hAnsiTheme="majorHAnsi"/>
          <w:b/>
          <w:bCs/>
          <w:lang w:val="en-US"/>
        </w:rPr>
      </w:pPr>
      <w:r w:rsidRPr="00895F4D">
        <w:rPr>
          <w:rFonts w:asciiTheme="majorHAnsi" w:hAnsiTheme="majorHAnsi"/>
          <w:b/>
          <w:bCs/>
          <w:lang w:val="en-US"/>
        </w:rPr>
        <w:t>Recommendation 3</w:t>
      </w:r>
    </w:p>
    <w:p w14:paraId="2FCB2D2D" w14:textId="77777777" w:rsidR="00F77D82" w:rsidRPr="00895F4D" w:rsidRDefault="00F77D82" w:rsidP="00F77D82">
      <w:pPr>
        <w:rPr>
          <w:rFonts w:asciiTheme="majorHAnsi" w:hAnsiTheme="majorHAnsi"/>
          <w:lang w:val="en-US"/>
        </w:rPr>
      </w:pPr>
      <w:r w:rsidRPr="00895F4D">
        <w:rPr>
          <w:rFonts w:asciiTheme="majorHAnsi" w:hAnsiTheme="majorHAnsi"/>
          <w:lang w:val="en-US"/>
        </w:rPr>
        <w:t xml:space="preserve">Evidence that the intervention is used in routine clinical care could come, in order of preference, from: </w:t>
      </w:r>
    </w:p>
    <w:p w14:paraId="2090D671" w14:textId="77777777" w:rsidR="00F77D82" w:rsidRPr="00895F4D" w:rsidRDefault="00F77D82" w:rsidP="00F77D82">
      <w:pPr>
        <w:pStyle w:val="ListParagraph"/>
        <w:numPr>
          <w:ilvl w:val="0"/>
          <w:numId w:val="15"/>
        </w:numPr>
        <w:jc w:val="both"/>
        <w:rPr>
          <w:rFonts w:asciiTheme="majorHAnsi" w:hAnsiTheme="majorHAnsi"/>
          <w:lang w:val="en-US"/>
        </w:rPr>
      </w:pPr>
      <w:r w:rsidRPr="00895F4D">
        <w:rPr>
          <w:rFonts w:asciiTheme="majorHAnsi" w:hAnsiTheme="majorHAnsi"/>
          <w:lang w:val="en-US"/>
        </w:rPr>
        <w:lastRenderedPageBreak/>
        <w:t xml:space="preserve">National reimbursement lists if available </w:t>
      </w:r>
    </w:p>
    <w:p w14:paraId="6F7F5E47" w14:textId="77777777" w:rsidR="00F77D82" w:rsidRPr="00895F4D" w:rsidRDefault="00F77D82" w:rsidP="00F77D82">
      <w:pPr>
        <w:pStyle w:val="ListParagraph"/>
        <w:numPr>
          <w:ilvl w:val="0"/>
          <w:numId w:val="15"/>
        </w:numPr>
        <w:jc w:val="both"/>
        <w:rPr>
          <w:rFonts w:asciiTheme="majorHAnsi" w:hAnsiTheme="majorHAnsi"/>
          <w:lang w:val="en-US"/>
        </w:rPr>
      </w:pPr>
      <w:r w:rsidRPr="00895F4D">
        <w:rPr>
          <w:rFonts w:asciiTheme="majorHAnsi" w:hAnsiTheme="majorHAnsi"/>
          <w:lang w:val="en-US"/>
        </w:rPr>
        <w:t xml:space="preserve">Prescription statistics (if appropriate) </w:t>
      </w:r>
    </w:p>
    <w:p w14:paraId="0450B099" w14:textId="77777777" w:rsidR="00F77D82" w:rsidRPr="00895F4D" w:rsidRDefault="00F77D82" w:rsidP="00F77D82">
      <w:pPr>
        <w:pStyle w:val="ListParagraph"/>
        <w:numPr>
          <w:ilvl w:val="0"/>
          <w:numId w:val="15"/>
        </w:numPr>
        <w:jc w:val="both"/>
        <w:rPr>
          <w:rFonts w:asciiTheme="majorHAnsi" w:hAnsiTheme="majorHAnsi"/>
          <w:lang w:val="en-US"/>
        </w:rPr>
      </w:pPr>
      <w:r w:rsidRPr="00895F4D">
        <w:rPr>
          <w:rFonts w:asciiTheme="majorHAnsi" w:hAnsiTheme="majorHAnsi"/>
          <w:lang w:val="en-US"/>
        </w:rPr>
        <w:t xml:space="preserve">Market surveys </w:t>
      </w:r>
    </w:p>
    <w:p w14:paraId="26939927" w14:textId="77777777" w:rsidR="00F77D82" w:rsidRPr="00895F4D" w:rsidRDefault="00F77D82" w:rsidP="00F77D82">
      <w:pPr>
        <w:pStyle w:val="ListParagraph"/>
        <w:numPr>
          <w:ilvl w:val="0"/>
          <w:numId w:val="15"/>
        </w:numPr>
        <w:jc w:val="both"/>
        <w:rPr>
          <w:rFonts w:asciiTheme="majorHAnsi" w:hAnsiTheme="majorHAnsi"/>
          <w:lang w:val="en-US"/>
        </w:rPr>
      </w:pPr>
      <w:r w:rsidRPr="00895F4D">
        <w:rPr>
          <w:rFonts w:asciiTheme="majorHAnsi" w:hAnsiTheme="majorHAnsi"/>
          <w:lang w:val="en-US"/>
        </w:rPr>
        <w:t xml:space="preserve">Discussion with clinical specialists and patient organisations </w:t>
      </w:r>
    </w:p>
    <w:p w14:paraId="07673028" w14:textId="77777777" w:rsidR="00F77D82" w:rsidRPr="00895F4D" w:rsidRDefault="00F77D82" w:rsidP="00F77D82">
      <w:pPr>
        <w:pStyle w:val="ListParagraph"/>
        <w:numPr>
          <w:ilvl w:val="0"/>
          <w:numId w:val="15"/>
        </w:numPr>
        <w:jc w:val="both"/>
        <w:rPr>
          <w:rFonts w:asciiTheme="majorHAnsi" w:hAnsiTheme="majorHAnsi"/>
          <w:lang w:val="en-US"/>
        </w:rPr>
      </w:pPr>
      <w:r w:rsidRPr="00895F4D">
        <w:rPr>
          <w:rFonts w:asciiTheme="majorHAnsi" w:hAnsiTheme="majorHAnsi"/>
          <w:lang w:val="en-US"/>
        </w:rPr>
        <w:t xml:space="preserve">Registries </w:t>
      </w:r>
    </w:p>
    <w:p w14:paraId="1CAF30D8" w14:textId="77777777" w:rsidR="00F77D82" w:rsidRPr="00895F4D" w:rsidRDefault="00F77D82" w:rsidP="00F77D82">
      <w:pPr>
        <w:pStyle w:val="ListParagraph"/>
        <w:numPr>
          <w:ilvl w:val="0"/>
          <w:numId w:val="15"/>
        </w:numPr>
        <w:jc w:val="both"/>
        <w:rPr>
          <w:rFonts w:asciiTheme="majorHAnsi" w:hAnsiTheme="majorHAnsi"/>
          <w:lang w:val="en-US"/>
        </w:rPr>
      </w:pPr>
      <w:r w:rsidRPr="00895F4D">
        <w:rPr>
          <w:rFonts w:asciiTheme="majorHAnsi" w:hAnsiTheme="majorHAnsi"/>
          <w:lang w:val="en-US"/>
        </w:rPr>
        <w:t xml:space="preserve">Validated clinical protocols </w:t>
      </w:r>
    </w:p>
    <w:p w14:paraId="07F19ECC" w14:textId="77777777" w:rsidR="00F77D82" w:rsidRPr="00895F4D" w:rsidRDefault="00F77D82" w:rsidP="00F77D82">
      <w:pPr>
        <w:pStyle w:val="ListParagraph"/>
        <w:numPr>
          <w:ilvl w:val="0"/>
          <w:numId w:val="15"/>
        </w:numPr>
        <w:jc w:val="both"/>
        <w:rPr>
          <w:rFonts w:asciiTheme="majorHAnsi" w:hAnsiTheme="majorHAnsi"/>
          <w:lang w:val="en-US"/>
        </w:rPr>
      </w:pPr>
      <w:r w:rsidRPr="00895F4D">
        <w:rPr>
          <w:rFonts w:asciiTheme="majorHAnsi" w:hAnsiTheme="majorHAnsi"/>
          <w:lang w:val="en-US"/>
        </w:rPr>
        <w:t xml:space="preserve">If the above are not available: Internet searches, in particular patient and professional websites </w:t>
      </w:r>
    </w:p>
    <w:p w14:paraId="5B65A0CB" w14:textId="77777777" w:rsidR="00F77D82" w:rsidRPr="00895F4D" w:rsidRDefault="00F77D82" w:rsidP="00F77D82">
      <w:pPr>
        <w:spacing w:after="0"/>
        <w:rPr>
          <w:rFonts w:asciiTheme="majorHAnsi" w:hAnsiTheme="majorHAnsi"/>
          <w:b/>
          <w:bCs/>
          <w:lang w:val="en-US"/>
        </w:rPr>
      </w:pPr>
    </w:p>
    <w:p w14:paraId="64D67DC9" w14:textId="77777777" w:rsidR="00F77D82" w:rsidRPr="00895F4D" w:rsidRDefault="00F77D82" w:rsidP="00F77D82">
      <w:pPr>
        <w:spacing w:after="0"/>
        <w:rPr>
          <w:rFonts w:asciiTheme="majorHAnsi" w:hAnsiTheme="majorHAnsi"/>
          <w:b/>
          <w:bCs/>
          <w:lang w:val="en-US"/>
        </w:rPr>
      </w:pPr>
      <w:r w:rsidRPr="00895F4D">
        <w:rPr>
          <w:rFonts w:asciiTheme="majorHAnsi" w:hAnsiTheme="majorHAnsi"/>
          <w:b/>
          <w:bCs/>
          <w:lang w:val="en-US"/>
        </w:rPr>
        <w:t xml:space="preserve">Recommendation 4 </w:t>
      </w:r>
    </w:p>
    <w:p w14:paraId="13A47365" w14:textId="77777777" w:rsidR="00F77D82" w:rsidRPr="00895F4D" w:rsidRDefault="00F77D82" w:rsidP="00F77D82">
      <w:pPr>
        <w:rPr>
          <w:rFonts w:asciiTheme="majorHAnsi" w:hAnsiTheme="majorHAnsi"/>
          <w:lang w:val="en-US"/>
        </w:rPr>
      </w:pPr>
      <w:r w:rsidRPr="00895F4D">
        <w:rPr>
          <w:rFonts w:asciiTheme="majorHAnsi" w:hAnsiTheme="majorHAnsi"/>
          <w:lang w:val="en-US"/>
        </w:rPr>
        <w:t xml:space="preserve">The choice of comparator should be supported by evidence on its efficacy and safety profile described in published medical literature, and based on randomised controlled trials, pragmatic trials or good quality observational studies. </w:t>
      </w:r>
    </w:p>
    <w:p w14:paraId="26EBA855" w14:textId="77777777" w:rsidR="00F77D82" w:rsidRPr="00895F4D" w:rsidRDefault="00F77D82" w:rsidP="00F77D82">
      <w:pPr>
        <w:spacing w:after="0"/>
        <w:rPr>
          <w:rFonts w:asciiTheme="majorHAnsi" w:hAnsiTheme="majorHAnsi"/>
          <w:b/>
          <w:bCs/>
          <w:lang w:val="en-US"/>
        </w:rPr>
      </w:pPr>
    </w:p>
    <w:p w14:paraId="39A59906" w14:textId="77777777" w:rsidR="00F77D82" w:rsidRPr="00895F4D" w:rsidRDefault="00F77D82" w:rsidP="00F77D82">
      <w:pPr>
        <w:spacing w:after="0"/>
        <w:rPr>
          <w:rFonts w:asciiTheme="majorHAnsi" w:hAnsiTheme="majorHAnsi"/>
          <w:b/>
          <w:bCs/>
          <w:lang w:val="en-US"/>
        </w:rPr>
      </w:pPr>
      <w:r w:rsidRPr="00895F4D">
        <w:rPr>
          <w:rFonts w:asciiTheme="majorHAnsi" w:hAnsiTheme="majorHAnsi"/>
          <w:b/>
          <w:bCs/>
          <w:lang w:val="en-US"/>
        </w:rPr>
        <w:t xml:space="preserve">Recommendation 5 </w:t>
      </w:r>
    </w:p>
    <w:p w14:paraId="20EC5459" w14:textId="77777777" w:rsidR="00F77D82" w:rsidRPr="00895F4D" w:rsidRDefault="00F77D82" w:rsidP="00F77D82">
      <w:pPr>
        <w:rPr>
          <w:rFonts w:asciiTheme="majorHAnsi" w:hAnsiTheme="majorHAnsi"/>
          <w:lang w:val="en-US"/>
        </w:rPr>
      </w:pPr>
      <w:r w:rsidRPr="00895F4D">
        <w:rPr>
          <w:rFonts w:asciiTheme="majorHAnsi" w:hAnsiTheme="majorHAnsi"/>
          <w:lang w:val="en-US"/>
        </w:rPr>
        <w:t xml:space="preserve">Where the comparator is a pharmaceutical, it has to be optimally dosed or scheduled in line with its marketing authorization or high-quality clinical practice guidelines. </w:t>
      </w:r>
    </w:p>
    <w:p w14:paraId="256C93A7" w14:textId="77777777" w:rsidR="00F77D82" w:rsidRPr="00895F4D" w:rsidRDefault="00F77D82" w:rsidP="00F77D82">
      <w:pPr>
        <w:rPr>
          <w:rFonts w:asciiTheme="majorHAnsi" w:hAnsiTheme="majorHAnsi"/>
          <w:lang w:val="en-US"/>
        </w:rPr>
      </w:pPr>
      <w:r w:rsidRPr="00895F4D">
        <w:rPr>
          <w:rFonts w:asciiTheme="majorHAnsi" w:hAnsiTheme="majorHAnsi"/>
          <w:lang w:val="en-US"/>
        </w:rPr>
        <w:t xml:space="preserve">Where the comparator is not a pharmaceutical, it should be used according to evidence based methodology and its instructions for use. </w:t>
      </w:r>
    </w:p>
    <w:p w14:paraId="516945C8" w14:textId="77777777" w:rsidR="00F77D82" w:rsidRPr="00895F4D" w:rsidRDefault="00F77D82" w:rsidP="00F77D82">
      <w:pPr>
        <w:spacing w:after="0"/>
        <w:rPr>
          <w:rFonts w:asciiTheme="majorHAnsi" w:hAnsiTheme="majorHAnsi"/>
          <w:b/>
          <w:bCs/>
          <w:lang w:val="en-US"/>
        </w:rPr>
      </w:pPr>
    </w:p>
    <w:p w14:paraId="4EA6FADF" w14:textId="77777777" w:rsidR="00F77D82" w:rsidRPr="00895F4D" w:rsidRDefault="00F77D82" w:rsidP="00F77D82">
      <w:pPr>
        <w:spacing w:after="0"/>
        <w:rPr>
          <w:rFonts w:asciiTheme="majorHAnsi" w:hAnsiTheme="majorHAnsi"/>
          <w:b/>
          <w:bCs/>
          <w:lang w:val="en-US"/>
        </w:rPr>
      </w:pPr>
      <w:r w:rsidRPr="00895F4D">
        <w:rPr>
          <w:rFonts w:asciiTheme="majorHAnsi" w:hAnsiTheme="majorHAnsi"/>
          <w:b/>
          <w:bCs/>
          <w:lang w:val="en-US"/>
        </w:rPr>
        <w:t xml:space="preserve">Recommendation 6 </w:t>
      </w:r>
    </w:p>
    <w:p w14:paraId="76F32875" w14:textId="77777777" w:rsidR="00F77D82" w:rsidRPr="00895F4D" w:rsidRDefault="00F77D82" w:rsidP="00F77D82">
      <w:pPr>
        <w:rPr>
          <w:rFonts w:asciiTheme="majorHAnsi" w:hAnsiTheme="majorHAnsi"/>
          <w:lang w:val="en-US"/>
        </w:rPr>
      </w:pPr>
      <w:r w:rsidRPr="00895F4D">
        <w:rPr>
          <w:rFonts w:asciiTheme="majorHAnsi" w:hAnsiTheme="majorHAnsi"/>
          <w:lang w:val="en-US"/>
        </w:rPr>
        <w:t xml:space="preserve">Where patient subpopulations are considered, for example according to disease severity, lines of treatment, stages of disease or genetic characteristics, additional comparators may need to be included and should be clearly identified. </w:t>
      </w:r>
    </w:p>
    <w:p w14:paraId="6963FC79" w14:textId="77777777" w:rsidR="00F77D82" w:rsidRPr="00895F4D" w:rsidRDefault="00F77D82" w:rsidP="00F77D82">
      <w:pPr>
        <w:spacing w:after="0"/>
        <w:rPr>
          <w:rFonts w:asciiTheme="majorHAnsi" w:hAnsiTheme="majorHAnsi"/>
          <w:b/>
          <w:bCs/>
          <w:lang w:val="en-US"/>
        </w:rPr>
      </w:pPr>
    </w:p>
    <w:p w14:paraId="3BD9A46B" w14:textId="77777777" w:rsidR="00F77D82" w:rsidRPr="00895F4D" w:rsidRDefault="00F77D82" w:rsidP="00F77D82">
      <w:pPr>
        <w:spacing w:after="0"/>
        <w:rPr>
          <w:rFonts w:asciiTheme="majorHAnsi" w:hAnsiTheme="majorHAnsi"/>
          <w:b/>
          <w:bCs/>
          <w:lang w:val="en-US"/>
        </w:rPr>
      </w:pPr>
      <w:r w:rsidRPr="00895F4D">
        <w:rPr>
          <w:rFonts w:asciiTheme="majorHAnsi" w:hAnsiTheme="majorHAnsi"/>
          <w:b/>
          <w:bCs/>
          <w:lang w:val="en-US"/>
        </w:rPr>
        <w:t xml:space="preserve">Recommendation 7 </w:t>
      </w:r>
    </w:p>
    <w:p w14:paraId="27857D61" w14:textId="77777777" w:rsidR="00F77D82" w:rsidRPr="00895F4D" w:rsidRDefault="00F77D82" w:rsidP="00F77D82">
      <w:pPr>
        <w:rPr>
          <w:rFonts w:asciiTheme="majorHAnsi" w:hAnsiTheme="majorHAnsi"/>
          <w:lang w:val="en-US"/>
        </w:rPr>
      </w:pPr>
      <w:r w:rsidRPr="00895F4D">
        <w:rPr>
          <w:rFonts w:asciiTheme="majorHAnsi" w:hAnsiTheme="majorHAnsi"/>
          <w:lang w:val="en-US"/>
        </w:rPr>
        <w:t xml:space="preserve">The most appropriate comparators for an assessment should be identified before the assessment begins or in the early phase of an assessment. </w:t>
      </w:r>
    </w:p>
    <w:p w14:paraId="4727CA47" w14:textId="77777777" w:rsidR="00F77D82" w:rsidRPr="00895F4D" w:rsidRDefault="00F77D82" w:rsidP="00F77D82">
      <w:pPr>
        <w:rPr>
          <w:rFonts w:asciiTheme="majorHAnsi" w:hAnsiTheme="majorHAnsi"/>
          <w:lang w:val="en-US"/>
        </w:rPr>
      </w:pPr>
      <w:r w:rsidRPr="00895F4D">
        <w:rPr>
          <w:rFonts w:asciiTheme="majorHAnsi" w:hAnsiTheme="majorHAnsi"/>
          <w:lang w:val="en-US"/>
        </w:rPr>
        <w:t>The following recommendations relate to specific national procedural rules, and are only relevant for specific countries</w:t>
      </w:r>
    </w:p>
    <w:p w14:paraId="5C87F00A" w14:textId="77777777" w:rsidR="00F77D82" w:rsidRPr="00895F4D" w:rsidRDefault="00F77D82" w:rsidP="00F77D82">
      <w:pPr>
        <w:spacing w:after="0"/>
        <w:rPr>
          <w:rFonts w:asciiTheme="majorHAnsi" w:hAnsiTheme="majorHAnsi"/>
          <w:b/>
          <w:bCs/>
          <w:lang w:val="en-US"/>
        </w:rPr>
      </w:pPr>
    </w:p>
    <w:p w14:paraId="66109F33" w14:textId="77777777" w:rsidR="00F77D82" w:rsidRPr="00895F4D" w:rsidRDefault="00F77D82" w:rsidP="00F77D82">
      <w:pPr>
        <w:spacing w:after="0"/>
        <w:rPr>
          <w:rFonts w:asciiTheme="majorHAnsi" w:hAnsiTheme="majorHAnsi"/>
          <w:b/>
          <w:bCs/>
          <w:lang w:val="en-US"/>
        </w:rPr>
      </w:pPr>
      <w:r w:rsidRPr="00895F4D">
        <w:rPr>
          <w:rFonts w:asciiTheme="majorHAnsi" w:hAnsiTheme="majorHAnsi"/>
          <w:b/>
          <w:bCs/>
          <w:lang w:val="en-US"/>
        </w:rPr>
        <w:t xml:space="preserve">Recommendation 8 </w:t>
      </w:r>
    </w:p>
    <w:p w14:paraId="26B85320" w14:textId="77777777" w:rsidR="00F77D82" w:rsidRPr="00895F4D" w:rsidRDefault="00F77D82" w:rsidP="00F77D82">
      <w:pPr>
        <w:rPr>
          <w:rFonts w:asciiTheme="majorHAnsi" w:hAnsiTheme="majorHAnsi"/>
          <w:lang w:val="en-US"/>
        </w:rPr>
      </w:pPr>
      <w:r w:rsidRPr="00895F4D">
        <w:rPr>
          <w:rFonts w:asciiTheme="majorHAnsi" w:hAnsiTheme="majorHAnsi"/>
          <w:lang w:val="en-US"/>
        </w:rPr>
        <w:t xml:space="preserve">If required by national procedural rules, the comparator must have an EU or national marketing authorisation, or if not a pharmaceutical, another form of recognised regulatory approval, for the appropriate indication and line of treatment. </w:t>
      </w:r>
    </w:p>
    <w:p w14:paraId="0859C62C" w14:textId="77777777" w:rsidR="00F77D82" w:rsidRPr="00895F4D" w:rsidRDefault="00F77D82" w:rsidP="00F77D82">
      <w:pPr>
        <w:spacing w:after="0"/>
        <w:rPr>
          <w:rFonts w:asciiTheme="majorHAnsi" w:hAnsiTheme="majorHAnsi"/>
          <w:b/>
          <w:bCs/>
          <w:lang w:val="en-US"/>
        </w:rPr>
      </w:pPr>
    </w:p>
    <w:p w14:paraId="77144DC3" w14:textId="77777777" w:rsidR="00F77D82" w:rsidRPr="00895F4D" w:rsidRDefault="00F77D82" w:rsidP="00F77D82">
      <w:pPr>
        <w:spacing w:after="0"/>
        <w:rPr>
          <w:rFonts w:asciiTheme="majorHAnsi" w:hAnsiTheme="majorHAnsi"/>
          <w:b/>
          <w:bCs/>
          <w:lang w:val="en-US"/>
        </w:rPr>
      </w:pPr>
      <w:r w:rsidRPr="00895F4D">
        <w:rPr>
          <w:rFonts w:asciiTheme="majorHAnsi" w:hAnsiTheme="majorHAnsi"/>
          <w:b/>
          <w:bCs/>
          <w:lang w:val="en-US"/>
        </w:rPr>
        <w:t xml:space="preserve">Recommendation 9 </w:t>
      </w:r>
    </w:p>
    <w:p w14:paraId="60F8327D" w14:textId="77777777" w:rsidR="00F77D82" w:rsidRPr="00895F4D" w:rsidRDefault="00F77D82" w:rsidP="00F77D82">
      <w:pPr>
        <w:rPr>
          <w:rFonts w:asciiTheme="majorHAnsi" w:hAnsiTheme="majorHAnsi"/>
          <w:lang w:val="en-US"/>
        </w:rPr>
      </w:pPr>
      <w:r w:rsidRPr="00895F4D">
        <w:rPr>
          <w:rFonts w:asciiTheme="majorHAnsi" w:hAnsiTheme="majorHAnsi"/>
          <w:lang w:val="en-US"/>
        </w:rPr>
        <w:t xml:space="preserve">If required by national procedural rules, if there are several alternatives, the more economic therapy should be selected as comparator, preferably one for which there is a reference price within the health care system. </w:t>
      </w:r>
    </w:p>
    <w:p w14:paraId="2CB5E0F8" w14:textId="77777777" w:rsidR="00F77D82" w:rsidRPr="00895F4D" w:rsidRDefault="00F77D82" w:rsidP="00F77D82">
      <w:pPr>
        <w:spacing w:after="0"/>
        <w:rPr>
          <w:rFonts w:asciiTheme="majorHAnsi" w:hAnsiTheme="majorHAnsi"/>
          <w:b/>
          <w:bCs/>
          <w:lang w:val="en-US"/>
        </w:rPr>
      </w:pPr>
    </w:p>
    <w:p w14:paraId="588451B9" w14:textId="77777777" w:rsidR="00F77D82" w:rsidRPr="00895F4D" w:rsidRDefault="00F77D82" w:rsidP="00F77D82">
      <w:pPr>
        <w:spacing w:after="0"/>
        <w:rPr>
          <w:rFonts w:asciiTheme="majorHAnsi" w:hAnsiTheme="majorHAnsi"/>
          <w:b/>
          <w:bCs/>
          <w:lang w:val="en-US"/>
        </w:rPr>
      </w:pPr>
      <w:r w:rsidRPr="00895F4D">
        <w:rPr>
          <w:rFonts w:asciiTheme="majorHAnsi" w:hAnsiTheme="majorHAnsi"/>
          <w:b/>
          <w:bCs/>
          <w:lang w:val="en-US"/>
        </w:rPr>
        <w:lastRenderedPageBreak/>
        <w:t xml:space="preserve">Recommendation 10 </w:t>
      </w:r>
    </w:p>
    <w:p w14:paraId="674018EC" w14:textId="77777777" w:rsidR="00F77D82" w:rsidRPr="00895F4D" w:rsidRDefault="00F77D82" w:rsidP="00F77D82">
      <w:pPr>
        <w:rPr>
          <w:rFonts w:asciiTheme="majorHAnsi" w:hAnsiTheme="majorHAnsi"/>
          <w:lang w:val="en-US"/>
        </w:rPr>
      </w:pPr>
      <w:r w:rsidRPr="00895F4D">
        <w:rPr>
          <w:rFonts w:asciiTheme="majorHAnsi" w:hAnsiTheme="majorHAnsi"/>
          <w:lang w:val="en-US"/>
        </w:rPr>
        <w:t xml:space="preserve">If required by national procedural rules, and depending on the assessment question, the comparator may need to be from a similar pharmaceutical class. </w:t>
      </w:r>
    </w:p>
    <w:p w14:paraId="6F62C5FE" w14:textId="77777777" w:rsidR="00F77D82" w:rsidRPr="00895F4D" w:rsidRDefault="00F77D82" w:rsidP="00F77D82">
      <w:pPr>
        <w:pStyle w:val="Heading1"/>
        <w:rPr>
          <w:rFonts w:asciiTheme="majorHAnsi" w:hAnsiTheme="majorHAnsi"/>
        </w:rPr>
      </w:pPr>
      <w:r w:rsidRPr="00895F4D">
        <w:rPr>
          <w:rFonts w:asciiTheme="majorHAnsi" w:hAnsiTheme="majorHAnsi"/>
        </w:rPr>
        <w:t>Doporučení ČFES</w:t>
      </w:r>
    </w:p>
    <w:p w14:paraId="3B529F27" w14:textId="77777777" w:rsidR="00F77D82" w:rsidRPr="00895F4D" w:rsidRDefault="00F77D82" w:rsidP="00F77D82">
      <w:pPr>
        <w:rPr>
          <w:rFonts w:asciiTheme="majorHAnsi" w:hAnsiTheme="majorHAnsi"/>
        </w:rPr>
      </w:pPr>
      <w:r w:rsidRPr="00895F4D">
        <w:rPr>
          <w:rFonts w:asciiTheme="majorHAnsi" w:hAnsiTheme="majorHAnsi"/>
        </w:rPr>
        <w:t>Před zahájením hodnocení nově vstupující intervence do systémů úhrad je nezbytné komparátor/y správně identifikovat a jeho/jejich výběr vhodně odůvodnit.</w:t>
      </w:r>
    </w:p>
    <w:p w14:paraId="6BB07B00" w14:textId="77777777" w:rsidR="00F77D82" w:rsidRPr="00895F4D" w:rsidRDefault="00F77D82" w:rsidP="00F77D82">
      <w:pPr>
        <w:rPr>
          <w:rFonts w:asciiTheme="majorHAnsi" w:hAnsiTheme="majorHAnsi"/>
        </w:rPr>
      </w:pPr>
      <w:r w:rsidRPr="00895F4D">
        <w:rPr>
          <w:rFonts w:asciiTheme="majorHAnsi" w:hAnsiTheme="majorHAnsi"/>
        </w:rPr>
        <w:t>Níže se věnujeme definici komparátoru při vstupu nového léčiva do systému úhrad. Z níže uvedeného je zřejmé, že pro ostatní intervence mající svá konkrétní specifika (především s ohledem na kvalitu dat), je možné definici komparátoru vhodně „analogicky“ převzít (pro preventivní intervence, případně chirurgické výkony a zdravotnické prostředky).</w:t>
      </w:r>
    </w:p>
    <w:p w14:paraId="6C6B950D" w14:textId="77777777" w:rsidR="00F77D82" w:rsidRPr="00895F4D" w:rsidRDefault="00F77D82" w:rsidP="00F77D82">
      <w:pPr>
        <w:rPr>
          <w:rFonts w:asciiTheme="majorHAnsi" w:hAnsiTheme="majorHAnsi"/>
        </w:rPr>
      </w:pPr>
      <w:r w:rsidRPr="00895F4D">
        <w:rPr>
          <w:rFonts w:asciiTheme="majorHAnsi" w:hAnsiTheme="majorHAnsi"/>
        </w:rPr>
        <w:t>V obecné rovině by komparátor měl splňovat tyto základní charakteristiky:</w:t>
      </w:r>
    </w:p>
    <w:p w14:paraId="7641FCD8" w14:textId="77777777" w:rsidR="00F77D82" w:rsidRPr="00895F4D" w:rsidRDefault="00F77D82" w:rsidP="00F77D82">
      <w:pPr>
        <w:pStyle w:val="ListParagraph"/>
        <w:numPr>
          <w:ilvl w:val="0"/>
          <w:numId w:val="12"/>
        </w:numPr>
        <w:jc w:val="both"/>
        <w:rPr>
          <w:rFonts w:asciiTheme="majorHAnsi" w:hAnsiTheme="majorHAnsi"/>
        </w:rPr>
      </w:pPr>
      <w:r w:rsidRPr="00895F4D">
        <w:rPr>
          <w:rFonts w:asciiTheme="majorHAnsi" w:hAnsiTheme="majorHAnsi"/>
        </w:rPr>
        <w:t>jedná se o schválený/é postup/y (v případě LP o registrovaný LP, LP uváděný na trh v režimu specifického léčebného programu, apod.)</w:t>
      </w:r>
    </w:p>
    <w:p w14:paraId="5C8DE4AD" w14:textId="77777777" w:rsidR="00F77D82" w:rsidRPr="00895F4D" w:rsidRDefault="00F77D82" w:rsidP="00F77D82">
      <w:pPr>
        <w:pStyle w:val="ListParagraph"/>
        <w:numPr>
          <w:ilvl w:val="0"/>
          <w:numId w:val="12"/>
        </w:numPr>
        <w:jc w:val="both"/>
        <w:rPr>
          <w:rFonts w:asciiTheme="majorHAnsi" w:hAnsiTheme="majorHAnsi"/>
        </w:rPr>
      </w:pPr>
      <w:r w:rsidRPr="00895F4D">
        <w:rPr>
          <w:rFonts w:asciiTheme="majorHAnsi" w:hAnsiTheme="majorHAnsi"/>
        </w:rPr>
        <w:t xml:space="preserve">jedná se o intervenci, která je hrazená z prostředků v.z.p. (u LP bez ohledu na to, zda jde o přípravek v režimu vysoké inovace (VILP)* </w:t>
      </w:r>
    </w:p>
    <w:p w14:paraId="4A8AA494" w14:textId="77777777" w:rsidR="00F77D82" w:rsidRPr="00895F4D" w:rsidRDefault="00F77D82" w:rsidP="00F77D82">
      <w:pPr>
        <w:pStyle w:val="ListParagraph"/>
        <w:rPr>
          <w:rFonts w:asciiTheme="majorHAnsi" w:hAnsiTheme="majorHAnsi"/>
          <w:i/>
        </w:rPr>
      </w:pPr>
      <w:r w:rsidRPr="00895F4D">
        <w:rPr>
          <w:rFonts w:asciiTheme="majorHAnsi" w:hAnsiTheme="majorHAnsi"/>
          <w:i/>
        </w:rPr>
        <w:t>*Dočasně hrazené LP a LP hrazené z paušálu nejsou dle SÚKL vhodné k použití jako komparátory, neboť při vstupu do systému nemusely prokázat vyšší účinnost, bezpečnost ani u nich nebyla studována nákladová efektivita. Tento fakt by ovšem neměl být překážkou pro autora analýzy, a měla by být tato analýza, s ohledem na relevantní komparátory, co nejkomplexnější. Výsledky srovnání s nehrazeným komparátorem (komparátorem v režimu dočasné úhrady) nemusí primárně sloužit jako důkaz v rámci stanovení výše a podmínek úhrady, ovšem tato srovnání dokreslují celkový přehled o hodnocené intervenci.</w:t>
      </w:r>
    </w:p>
    <w:p w14:paraId="43D8928A" w14:textId="77777777" w:rsidR="00F77D82" w:rsidRPr="00895F4D" w:rsidRDefault="00F77D82" w:rsidP="00F77D82">
      <w:pPr>
        <w:pStyle w:val="ListParagraph"/>
        <w:numPr>
          <w:ilvl w:val="0"/>
          <w:numId w:val="12"/>
        </w:numPr>
        <w:jc w:val="both"/>
        <w:rPr>
          <w:rFonts w:asciiTheme="majorHAnsi" w:hAnsiTheme="majorHAnsi"/>
        </w:rPr>
      </w:pPr>
      <w:r w:rsidRPr="00895F4D">
        <w:rPr>
          <w:rFonts w:asciiTheme="majorHAnsi" w:hAnsiTheme="majorHAnsi"/>
        </w:rPr>
        <w:t>jedná se o intervenci používanou v klinické praxi, která má být nahrazena (dle doporučených postupů, odborného stanoviska se jedná o intervenci u cílové populace skutečně užívanou)</w:t>
      </w:r>
    </w:p>
    <w:p w14:paraId="667A8AA0" w14:textId="77777777" w:rsidR="00F77D82" w:rsidRPr="00895F4D" w:rsidRDefault="00F77D82" w:rsidP="00F77D82">
      <w:pPr>
        <w:pStyle w:val="ListParagraph"/>
        <w:ind w:left="708"/>
        <w:rPr>
          <w:rFonts w:asciiTheme="majorHAnsi" w:hAnsiTheme="majorHAnsi"/>
        </w:rPr>
      </w:pPr>
      <w:r w:rsidRPr="00895F4D">
        <w:rPr>
          <w:rFonts w:asciiTheme="majorHAnsi" w:hAnsiTheme="majorHAnsi"/>
          <w:i/>
        </w:rPr>
        <w:t>Běžně používanou intervencí se rozumí ta, která vykazuje nezanedbatelnou utilizaci v České republice, tj. použití u alespoň 10 % pacientů v dané populaci, na kterou cílí hodnocená intervence. Přičemž stále platí, že pro komparátor musí existovat dostatek robustních důkazů, které správné (relativní) srovnání umožní.</w:t>
      </w:r>
    </w:p>
    <w:p w14:paraId="06251BCF" w14:textId="77777777" w:rsidR="00F77D82" w:rsidRPr="00895F4D" w:rsidRDefault="00F77D82" w:rsidP="00F77D82">
      <w:pPr>
        <w:pStyle w:val="ListParagraph"/>
        <w:numPr>
          <w:ilvl w:val="0"/>
          <w:numId w:val="12"/>
        </w:numPr>
        <w:ind w:left="708"/>
        <w:jc w:val="both"/>
        <w:rPr>
          <w:rFonts w:asciiTheme="majorHAnsi" w:hAnsiTheme="majorHAnsi"/>
          <w:i/>
        </w:rPr>
      </w:pPr>
      <w:r w:rsidRPr="00895F4D">
        <w:rPr>
          <w:rFonts w:asciiTheme="majorHAnsi" w:hAnsiTheme="majorHAnsi"/>
        </w:rPr>
        <w:t xml:space="preserve">je pro tuto intervenci k dispozici robustní evidence, kdy lze definovat účinnost / bezpečnost samotné intervence (tzv. </w:t>
      </w:r>
      <w:r w:rsidRPr="00895F4D">
        <w:rPr>
          <w:rFonts w:asciiTheme="majorHAnsi" w:hAnsiTheme="majorHAnsi"/>
          <w:i/>
        </w:rPr>
        <w:t>treatment effect</w:t>
      </w:r>
      <w:r w:rsidRPr="00895F4D">
        <w:rPr>
          <w:rFonts w:asciiTheme="majorHAnsi" w:hAnsiTheme="majorHAnsi"/>
        </w:rPr>
        <w:t xml:space="preserve">) a tuto tak jednoznačně oddělit od efektu studie / pozorování (tzv. </w:t>
      </w:r>
      <w:r w:rsidRPr="00895F4D">
        <w:rPr>
          <w:rFonts w:asciiTheme="majorHAnsi" w:hAnsiTheme="majorHAnsi"/>
          <w:i/>
        </w:rPr>
        <w:t>study effect</w:t>
      </w:r>
      <w:r w:rsidRPr="00895F4D">
        <w:rPr>
          <w:rFonts w:asciiTheme="majorHAnsi" w:hAnsiTheme="majorHAnsi"/>
        </w:rPr>
        <w:t xml:space="preserve">), který je obvykle v různých studiích různý. </w:t>
      </w:r>
    </w:p>
    <w:p w14:paraId="58A87517" w14:textId="77777777" w:rsidR="00F77D82" w:rsidRPr="00895F4D" w:rsidRDefault="00F77D82" w:rsidP="00F77D82">
      <w:pPr>
        <w:pStyle w:val="ListParagraph"/>
        <w:ind w:left="708"/>
        <w:rPr>
          <w:rFonts w:asciiTheme="majorHAnsi" w:hAnsiTheme="majorHAnsi"/>
          <w:i/>
        </w:rPr>
      </w:pPr>
      <w:r w:rsidRPr="00895F4D">
        <w:rPr>
          <w:rFonts w:asciiTheme="majorHAnsi" w:hAnsiTheme="majorHAnsi"/>
          <w:i/>
        </w:rPr>
        <w:t>Obecně</w:t>
      </w:r>
      <w:r w:rsidRPr="00895F4D">
        <w:rPr>
          <w:rFonts w:asciiTheme="majorHAnsi" w:hAnsiTheme="majorHAnsi"/>
        </w:rPr>
        <w:t>; p</w:t>
      </w:r>
      <w:r w:rsidRPr="00895F4D">
        <w:rPr>
          <w:rFonts w:asciiTheme="majorHAnsi" w:hAnsiTheme="majorHAnsi"/>
          <w:i/>
        </w:rPr>
        <w:t xml:space="preserve">ro intervenci, která disponuje kontrolovanou studií s komparátorem A, nelze automaticky požadovat srovnání s intervencí B (která je / byla v klinické praxi za jistých okolností používána, ovšem evidence této intervence B sahá pouze na úroveň jednoramenných studií). Za jistých okolností (především u intervencí, které cílí na malý počet pacientů – vzácná onemocnění, lze provádět srovnání i s intervencemi, které prokazují evidenci pouze z jednoramenných studií / sérií kazuistik a podobně. Toto srovnání však musí být adekvátně diskutováno a správně provedeno s použitím adekvátních technik. Autor analýzy by se měl vyvarovat použití komparátoru systémem naivního srovnání (přebírání výsledků studií aktivních intervencí), místo toho by mělo být </w:t>
      </w:r>
      <w:r w:rsidRPr="00895F4D">
        <w:rPr>
          <w:rFonts w:asciiTheme="majorHAnsi" w:hAnsiTheme="majorHAnsi"/>
          <w:i/>
        </w:rPr>
        <w:lastRenderedPageBreak/>
        <w:t>užito relativního srovnání, za použití relativních hodnot jako jsou RR (relative risk), HR (hazard ratio), příp. OR (odds ratio).</w:t>
      </w:r>
    </w:p>
    <w:p w14:paraId="51A0E997" w14:textId="77777777" w:rsidR="00F77D82" w:rsidRPr="00895F4D" w:rsidRDefault="00F77D82" w:rsidP="00F77D82">
      <w:pPr>
        <w:pStyle w:val="ListParagraph"/>
        <w:numPr>
          <w:ilvl w:val="0"/>
          <w:numId w:val="12"/>
        </w:numPr>
        <w:jc w:val="both"/>
        <w:rPr>
          <w:rFonts w:asciiTheme="majorHAnsi" w:hAnsiTheme="majorHAnsi"/>
        </w:rPr>
      </w:pPr>
      <w:r w:rsidRPr="00895F4D">
        <w:rPr>
          <w:rFonts w:asciiTheme="majorHAnsi" w:hAnsiTheme="majorHAnsi"/>
        </w:rPr>
        <w:t>V rámci užití konkrétního komparátoru u konkrétní / specifické populace by měl být dán důraz na srovnatelnost populací, případně by rozdíly v populacích měly být adekvátně statisticky ošetřeny, aby tak výsledný efekt léčby hodnocené a komparované intervence byl vztažen na stejnou (velice blízkou) populaci.</w:t>
      </w:r>
    </w:p>
    <w:p w14:paraId="252E37D3" w14:textId="77777777" w:rsidR="00F77D82" w:rsidRPr="00895F4D" w:rsidRDefault="00F77D82" w:rsidP="00F77D82">
      <w:pPr>
        <w:pStyle w:val="ListParagraph"/>
        <w:numPr>
          <w:ilvl w:val="0"/>
          <w:numId w:val="13"/>
        </w:numPr>
        <w:jc w:val="both"/>
        <w:rPr>
          <w:rFonts w:asciiTheme="majorHAnsi" w:hAnsiTheme="majorHAnsi"/>
        </w:rPr>
      </w:pPr>
      <w:r w:rsidRPr="00895F4D">
        <w:rPr>
          <w:rFonts w:asciiTheme="majorHAnsi" w:hAnsiTheme="majorHAnsi"/>
        </w:rPr>
        <w:t xml:space="preserve">pokud je používáno v klinické praxi více intervencí, je třeba porovnat se všemi běžně používanými v oddělených scénářích, případně je třeba zdůvodnit, proč některé intervence nebyly zařazeny do srovnání. </w:t>
      </w:r>
    </w:p>
    <w:p w14:paraId="792057B1" w14:textId="51A9EE33" w:rsidR="00F77D82" w:rsidRPr="00895F4D" w:rsidRDefault="00F77D82" w:rsidP="00F77D82">
      <w:pPr>
        <w:pStyle w:val="ListParagraph"/>
        <w:rPr>
          <w:rFonts w:asciiTheme="majorHAnsi" w:hAnsiTheme="majorHAnsi"/>
        </w:rPr>
      </w:pPr>
      <w:r w:rsidRPr="00895F4D">
        <w:rPr>
          <w:rFonts w:asciiTheme="majorHAnsi" w:hAnsiTheme="majorHAnsi"/>
          <w:i/>
        </w:rPr>
        <w:t>V případě, že existuje více komparátorů a jejich účinnost / bezpečnost je odvozena z nepřímého srovnání (network meta-analýz, mixed treatment comparison) je pro výpočet základního scénáře použita průměrná hodnota (obvyklý postup), ovšem je zároveň provedena i analýza sensitivity, kdy jako krajní hodnoty představují 95% interval spolehlivosti, resp. interval kredibility.</w:t>
      </w:r>
    </w:p>
    <w:p w14:paraId="68D10A6C" w14:textId="77777777" w:rsidR="00F77D82" w:rsidRDefault="00F77D82" w:rsidP="00F77D82">
      <w:pPr>
        <w:rPr>
          <w:rFonts w:asciiTheme="majorHAnsi" w:hAnsiTheme="majorHAnsi"/>
        </w:rPr>
      </w:pPr>
    </w:p>
    <w:p w14:paraId="7218F231" w14:textId="77777777" w:rsidR="00173B5F" w:rsidRDefault="00173B5F" w:rsidP="00F77D82">
      <w:pPr>
        <w:rPr>
          <w:rFonts w:asciiTheme="majorHAnsi" w:hAnsiTheme="majorHAnsi"/>
        </w:rPr>
      </w:pPr>
    </w:p>
    <w:p w14:paraId="4210333E" w14:textId="0797D773" w:rsidR="00173B5F" w:rsidRDefault="00173B5F" w:rsidP="00F77D82">
      <w:pPr>
        <w:rPr>
          <w:rFonts w:asciiTheme="majorHAnsi" w:hAnsiTheme="majorHAnsi"/>
          <w:b/>
          <w:u w:val="single"/>
        </w:rPr>
      </w:pPr>
      <w:r w:rsidRPr="00400C00">
        <w:rPr>
          <w:rFonts w:asciiTheme="majorHAnsi" w:hAnsiTheme="majorHAnsi"/>
          <w:b/>
          <w:u w:val="single"/>
        </w:rPr>
        <w:t>3.3.  Zajištění a hodnocení důkazů pro CER</w:t>
      </w:r>
    </w:p>
    <w:p w14:paraId="700C09DE" w14:textId="77777777" w:rsidR="00400C00" w:rsidRPr="00400C00" w:rsidRDefault="00400C00" w:rsidP="00400C00">
      <w:pPr>
        <w:rPr>
          <w:rFonts w:asciiTheme="majorHAnsi" w:hAnsiTheme="majorHAnsi"/>
        </w:rPr>
      </w:pPr>
      <w:r w:rsidRPr="00400C00">
        <w:rPr>
          <w:rFonts w:asciiTheme="majorHAnsi" w:hAnsiTheme="majorHAnsi"/>
        </w:rPr>
        <w:t xml:space="preserve">Jak bylo uvedeno v předchozích kapitolách, jako srovnávaná intervence (komparátor) by měl být vybrán terapeutický postup, který je v terapii daného onemocnění cílové skupiny pacientů přijímán jako obvyklý pro dané stádium onemocnění a linii jeho léčby a je současně hrazen z prostředků zdravotního pojištění a to včetně dočasně hrazených intervencí a intervencí, které jsou hrazeny </w:t>
      </w:r>
      <w:r w:rsidRPr="00400C00">
        <w:rPr>
          <w:rFonts w:asciiTheme="majorHAnsi" w:hAnsiTheme="majorHAnsi"/>
          <w:sz w:val="20"/>
        </w:rPr>
        <w:t>(</w:t>
      </w:r>
      <w:r w:rsidRPr="00400C00">
        <w:rPr>
          <w:rFonts w:asciiTheme="majorHAnsi" w:hAnsiTheme="majorHAnsi"/>
          <w:i/>
          <w:sz w:val="20"/>
        </w:rPr>
        <w:t>hrazeny znamená, že daným intervencím byla stanovena úhrada ve správním řízení dle legislativy platné po 1.1.2008</w:t>
      </w:r>
      <w:r w:rsidRPr="00400C00">
        <w:rPr>
          <w:rFonts w:asciiTheme="majorHAnsi" w:hAnsiTheme="majorHAnsi"/>
          <w:sz w:val="20"/>
        </w:rPr>
        <w:t xml:space="preserve">) </w:t>
      </w:r>
      <w:r w:rsidRPr="00400C00">
        <w:rPr>
          <w:rFonts w:asciiTheme="majorHAnsi" w:hAnsiTheme="majorHAnsi"/>
        </w:rPr>
        <w:t>u cílové skupiny pacientů v tzv. off-label režimu. Pokud existuje více takových obvyklých intervencí, nebo nelze jednoznačně říci, která intervence je přijímána jako obvyklá, nebo u významné části pacientů se používá i jiný typ intervence, mělo by být provedeno srovnání proti více komparátorům (</w:t>
      </w:r>
      <w:r w:rsidRPr="00400C00">
        <w:rPr>
          <w:rFonts w:asciiTheme="majorHAnsi" w:hAnsiTheme="majorHAnsi"/>
          <w:i/>
          <w:iCs/>
        </w:rPr>
        <w:t>multiple-treatment comparison</w:t>
      </w:r>
      <w:r w:rsidRPr="00400C00">
        <w:rPr>
          <w:rFonts w:asciiTheme="majorHAnsi" w:hAnsiTheme="majorHAnsi"/>
        </w:rPr>
        <w:t>).</w:t>
      </w:r>
    </w:p>
    <w:p w14:paraId="6C713ED6" w14:textId="77777777" w:rsidR="00400C00" w:rsidRPr="00400C00" w:rsidRDefault="00400C00" w:rsidP="00400C00">
      <w:pPr>
        <w:rPr>
          <w:rFonts w:asciiTheme="majorHAnsi" w:hAnsiTheme="majorHAnsi"/>
        </w:rPr>
      </w:pPr>
      <w:r w:rsidRPr="00400C00">
        <w:rPr>
          <w:rFonts w:asciiTheme="majorHAnsi" w:hAnsiTheme="majorHAnsi"/>
        </w:rPr>
        <w:t>Jakmile jsou identifikovány všechny relevantní intervence pro provedení CRE (dále jen RI) ve vztahu k hodnocené intervenci a definovány parametry hodnocení, je třeba zajistit  vlastní důkazy, na jejichž podkladě bude CER provedeno.</w:t>
      </w:r>
    </w:p>
    <w:p w14:paraId="2A6D2BC4" w14:textId="77777777" w:rsidR="00400C00" w:rsidRPr="00400C00" w:rsidRDefault="00400C00" w:rsidP="00400C00">
      <w:pPr>
        <w:rPr>
          <w:rFonts w:asciiTheme="majorHAnsi" w:hAnsiTheme="majorHAnsi"/>
        </w:rPr>
      </w:pPr>
      <w:r w:rsidRPr="00400C00">
        <w:rPr>
          <w:rFonts w:asciiTheme="majorHAnsi" w:hAnsiTheme="majorHAnsi"/>
        </w:rPr>
        <w:t>V základním členění lze důkazy rozdělit do tří skupin:</w:t>
      </w:r>
    </w:p>
    <w:p w14:paraId="3A2E9CBB" w14:textId="77777777" w:rsidR="00400C00" w:rsidRPr="00400C00" w:rsidRDefault="00400C00" w:rsidP="00400C00">
      <w:pPr>
        <w:numPr>
          <w:ilvl w:val="0"/>
          <w:numId w:val="20"/>
        </w:numPr>
        <w:spacing w:after="0" w:line="240" w:lineRule="auto"/>
        <w:rPr>
          <w:rFonts w:asciiTheme="majorHAnsi" w:hAnsiTheme="majorHAnsi"/>
        </w:rPr>
      </w:pPr>
      <w:r w:rsidRPr="00400C00">
        <w:rPr>
          <w:rFonts w:asciiTheme="majorHAnsi" w:hAnsiTheme="majorHAnsi"/>
        </w:rPr>
        <w:t xml:space="preserve">Důkazy, v nichž </w:t>
      </w:r>
      <w:r w:rsidRPr="00400C00">
        <w:rPr>
          <w:rFonts w:asciiTheme="majorHAnsi" w:hAnsiTheme="majorHAnsi"/>
          <w:b/>
          <w:u w:val="single"/>
        </w:rPr>
        <w:t>byla</w:t>
      </w:r>
      <w:r w:rsidRPr="00400C00">
        <w:rPr>
          <w:rFonts w:asciiTheme="majorHAnsi" w:hAnsiTheme="majorHAnsi"/>
        </w:rPr>
        <w:t xml:space="preserve"> hodnocená intervence </w:t>
      </w:r>
      <w:r w:rsidRPr="00400C00">
        <w:rPr>
          <w:rFonts w:asciiTheme="majorHAnsi" w:hAnsiTheme="majorHAnsi"/>
          <w:b/>
          <w:u w:val="single"/>
        </w:rPr>
        <w:t>porovnávána přímo vůči RI</w:t>
      </w:r>
      <w:r w:rsidRPr="00400C00">
        <w:rPr>
          <w:rFonts w:asciiTheme="majorHAnsi" w:hAnsiTheme="majorHAnsi"/>
        </w:rPr>
        <w:t xml:space="preserve"> (jako RI může být považováno i placebo)</w:t>
      </w:r>
    </w:p>
    <w:p w14:paraId="293F858E" w14:textId="77777777" w:rsidR="00400C00" w:rsidRPr="00400C00" w:rsidRDefault="00400C00" w:rsidP="00400C00">
      <w:pPr>
        <w:numPr>
          <w:ilvl w:val="0"/>
          <w:numId w:val="20"/>
        </w:numPr>
        <w:spacing w:after="0" w:line="240" w:lineRule="auto"/>
        <w:rPr>
          <w:rFonts w:asciiTheme="majorHAnsi" w:hAnsiTheme="majorHAnsi"/>
        </w:rPr>
      </w:pPr>
      <w:r w:rsidRPr="00400C00">
        <w:rPr>
          <w:rFonts w:asciiTheme="majorHAnsi" w:hAnsiTheme="majorHAnsi"/>
        </w:rPr>
        <w:t xml:space="preserve">Důkazy, v nichž </w:t>
      </w:r>
      <w:r w:rsidRPr="00400C00">
        <w:rPr>
          <w:rFonts w:asciiTheme="majorHAnsi" w:hAnsiTheme="majorHAnsi"/>
          <w:b/>
          <w:u w:val="single"/>
        </w:rPr>
        <w:t>byla</w:t>
      </w:r>
      <w:r w:rsidRPr="00400C00">
        <w:rPr>
          <w:rFonts w:asciiTheme="majorHAnsi" w:hAnsiTheme="majorHAnsi"/>
        </w:rPr>
        <w:t xml:space="preserve"> hodnocená intervence </w:t>
      </w:r>
      <w:r w:rsidRPr="00400C00">
        <w:rPr>
          <w:rFonts w:asciiTheme="majorHAnsi" w:hAnsiTheme="majorHAnsi"/>
          <w:b/>
          <w:u w:val="single"/>
        </w:rPr>
        <w:t>porovnávána přímo vůči jiným intervencím</w:t>
      </w:r>
      <w:r w:rsidRPr="00400C00">
        <w:rPr>
          <w:rFonts w:asciiTheme="majorHAnsi" w:hAnsiTheme="majorHAnsi"/>
        </w:rPr>
        <w:t>, které nebyly identifikovány, jako RI pro CRE, a to včetně placeba</w:t>
      </w:r>
    </w:p>
    <w:p w14:paraId="04F36757" w14:textId="77777777" w:rsidR="00400C00" w:rsidRPr="00400C00" w:rsidRDefault="00400C00" w:rsidP="00400C00">
      <w:pPr>
        <w:numPr>
          <w:ilvl w:val="0"/>
          <w:numId w:val="20"/>
        </w:numPr>
        <w:spacing w:after="0" w:line="240" w:lineRule="auto"/>
        <w:rPr>
          <w:rFonts w:asciiTheme="majorHAnsi" w:hAnsiTheme="majorHAnsi"/>
        </w:rPr>
      </w:pPr>
      <w:r w:rsidRPr="00400C00">
        <w:rPr>
          <w:rFonts w:asciiTheme="majorHAnsi" w:hAnsiTheme="majorHAnsi"/>
        </w:rPr>
        <w:t xml:space="preserve">Důkazy, v nichž </w:t>
      </w:r>
      <w:r w:rsidRPr="00400C00">
        <w:rPr>
          <w:rFonts w:asciiTheme="majorHAnsi" w:hAnsiTheme="majorHAnsi"/>
          <w:b/>
          <w:u w:val="single"/>
        </w:rPr>
        <w:t>nebyla</w:t>
      </w:r>
      <w:r w:rsidRPr="00400C00">
        <w:rPr>
          <w:rFonts w:asciiTheme="majorHAnsi" w:hAnsiTheme="majorHAnsi"/>
        </w:rPr>
        <w:t xml:space="preserve"> hodnocená intervence </w:t>
      </w:r>
      <w:r w:rsidRPr="00400C00">
        <w:rPr>
          <w:rFonts w:asciiTheme="majorHAnsi" w:hAnsiTheme="majorHAnsi"/>
          <w:b/>
          <w:u w:val="single"/>
        </w:rPr>
        <w:t>porovnávána přímo vůči jiným intervencím</w:t>
      </w:r>
    </w:p>
    <w:p w14:paraId="01BCE0C8" w14:textId="77777777" w:rsidR="00400C00" w:rsidRDefault="00400C00" w:rsidP="00400C00">
      <w:pPr>
        <w:rPr>
          <w:rFonts w:asciiTheme="majorHAnsi" w:hAnsiTheme="majorHAnsi"/>
        </w:rPr>
      </w:pPr>
    </w:p>
    <w:p w14:paraId="3411A5A4" w14:textId="77777777" w:rsidR="00400C00" w:rsidRPr="00400C00" w:rsidRDefault="00400C00" w:rsidP="00400C00">
      <w:pPr>
        <w:rPr>
          <w:rFonts w:asciiTheme="majorHAnsi" w:hAnsiTheme="majorHAnsi"/>
        </w:rPr>
      </w:pPr>
      <w:r w:rsidRPr="00400C00">
        <w:rPr>
          <w:rFonts w:asciiTheme="majorHAnsi" w:hAnsiTheme="majorHAnsi"/>
        </w:rPr>
        <w:t>Pro potřeby CER by bylo naprosto ideální, pokud by hodnocená intervence měla důkazy z kategorie (1), ovšem realita bývá často jiná. Většinou jsme v situaci, kdy nemáme k dispozici důkazy založené na přímém porovnání a je třeba provést porovnání nepřímé. V tu chvíli pak vyvstává otázka, jakým způsobem nepřímé porovnání provést.</w:t>
      </w:r>
    </w:p>
    <w:p w14:paraId="240C41B9" w14:textId="77777777" w:rsidR="00400C00" w:rsidRPr="00400C00" w:rsidRDefault="00400C00" w:rsidP="00400C00">
      <w:pPr>
        <w:rPr>
          <w:rFonts w:asciiTheme="majorHAnsi" w:hAnsiTheme="majorHAnsi"/>
        </w:rPr>
      </w:pPr>
    </w:p>
    <w:p w14:paraId="05421214" w14:textId="77777777" w:rsidR="00400C00" w:rsidRPr="00400C00" w:rsidRDefault="00400C00" w:rsidP="00400C00">
      <w:pPr>
        <w:rPr>
          <w:rFonts w:asciiTheme="majorHAnsi" w:hAnsiTheme="majorHAnsi"/>
        </w:rPr>
      </w:pPr>
      <w:r w:rsidRPr="00400C00">
        <w:rPr>
          <w:rFonts w:asciiTheme="majorHAnsi" w:hAnsiTheme="majorHAnsi"/>
        </w:rPr>
        <w:lastRenderedPageBreak/>
        <w:t>Před tím, než lze přistoupit k nepřímému srovnání, je třeba zajistit takové množství důkazů, aby výsledné srovnání bylo dostatečně:</w:t>
      </w:r>
    </w:p>
    <w:p w14:paraId="52BC41C3" w14:textId="77777777" w:rsidR="00400C00" w:rsidRPr="00400C00" w:rsidRDefault="00400C00" w:rsidP="00400C00">
      <w:pPr>
        <w:numPr>
          <w:ilvl w:val="0"/>
          <w:numId w:val="21"/>
        </w:numPr>
        <w:spacing w:after="0" w:line="240" w:lineRule="auto"/>
        <w:rPr>
          <w:rFonts w:asciiTheme="majorHAnsi" w:hAnsiTheme="majorHAnsi"/>
        </w:rPr>
      </w:pPr>
      <w:r w:rsidRPr="00400C00">
        <w:rPr>
          <w:rFonts w:asciiTheme="majorHAnsi" w:hAnsiTheme="majorHAnsi"/>
          <w:b/>
        </w:rPr>
        <w:t>VALIDNÍ</w:t>
      </w:r>
      <w:r w:rsidRPr="00400C00">
        <w:rPr>
          <w:rFonts w:asciiTheme="majorHAnsi" w:hAnsiTheme="majorHAnsi"/>
        </w:rPr>
        <w:t xml:space="preserve"> (minimalizace bias (zkreslení))</w:t>
      </w:r>
    </w:p>
    <w:p w14:paraId="1B33AE08" w14:textId="77777777" w:rsidR="00400C00" w:rsidRPr="00400C00" w:rsidRDefault="00400C00" w:rsidP="00400C00">
      <w:pPr>
        <w:numPr>
          <w:ilvl w:val="0"/>
          <w:numId w:val="21"/>
        </w:numPr>
        <w:spacing w:after="0" w:line="240" w:lineRule="auto"/>
        <w:rPr>
          <w:rFonts w:asciiTheme="majorHAnsi" w:hAnsiTheme="majorHAnsi"/>
        </w:rPr>
      </w:pPr>
      <w:r w:rsidRPr="00400C00">
        <w:rPr>
          <w:rFonts w:asciiTheme="majorHAnsi" w:hAnsiTheme="majorHAnsi"/>
          <w:b/>
        </w:rPr>
        <w:t>OBSÁHLÉ</w:t>
      </w:r>
      <w:r w:rsidRPr="00400C00">
        <w:rPr>
          <w:rFonts w:asciiTheme="majorHAnsi" w:hAnsiTheme="majorHAnsi"/>
        </w:rPr>
        <w:t xml:space="preserve"> (zahrnutí všech validních důkazů)</w:t>
      </w:r>
    </w:p>
    <w:p w14:paraId="28A83ABB" w14:textId="77777777" w:rsidR="00400C00" w:rsidRPr="00400C00" w:rsidRDefault="00400C00" w:rsidP="00400C00">
      <w:pPr>
        <w:numPr>
          <w:ilvl w:val="0"/>
          <w:numId w:val="21"/>
        </w:numPr>
        <w:spacing w:after="0" w:line="240" w:lineRule="auto"/>
        <w:rPr>
          <w:rFonts w:asciiTheme="majorHAnsi" w:hAnsiTheme="majorHAnsi"/>
        </w:rPr>
      </w:pPr>
      <w:r w:rsidRPr="00400C00">
        <w:rPr>
          <w:rFonts w:asciiTheme="majorHAnsi" w:hAnsiTheme="majorHAnsi"/>
          <w:b/>
        </w:rPr>
        <w:t>RELEVANTNÍ</w:t>
      </w:r>
      <w:r w:rsidRPr="00400C00">
        <w:rPr>
          <w:rFonts w:asciiTheme="majorHAnsi" w:hAnsiTheme="majorHAnsi"/>
        </w:rPr>
        <w:t xml:space="preserve"> (zaměření na cíl hodnocení, zejména na cílovou skupinu pacientů)</w:t>
      </w:r>
    </w:p>
    <w:p w14:paraId="55D6A5EE" w14:textId="77777777" w:rsidR="00400C00" w:rsidRPr="00400C00" w:rsidRDefault="00400C00" w:rsidP="00400C00">
      <w:pPr>
        <w:rPr>
          <w:rFonts w:asciiTheme="majorHAnsi" w:hAnsiTheme="majorHAnsi"/>
        </w:rPr>
      </w:pPr>
    </w:p>
    <w:p w14:paraId="26A8876F" w14:textId="77777777" w:rsidR="00400C00" w:rsidRPr="00400C00" w:rsidRDefault="00400C00" w:rsidP="00400C00">
      <w:pPr>
        <w:rPr>
          <w:rFonts w:asciiTheme="majorHAnsi" w:hAnsiTheme="majorHAnsi"/>
        </w:rPr>
      </w:pPr>
      <w:r w:rsidRPr="00400C00">
        <w:rPr>
          <w:rFonts w:asciiTheme="majorHAnsi" w:hAnsiTheme="majorHAnsi"/>
        </w:rPr>
        <w:t>Pokud pomineme nevhodné naivní nepřímé srovnání, používají se v současné době 2 základní metody nepřímého srovnání:</w:t>
      </w:r>
    </w:p>
    <w:p w14:paraId="52B598DF" w14:textId="6024E047" w:rsidR="00400C00" w:rsidRPr="00400C00" w:rsidRDefault="00400C00" w:rsidP="00400C00">
      <w:pPr>
        <w:numPr>
          <w:ilvl w:val="0"/>
          <w:numId w:val="22"/>
        </w:numPr>
        <w:spacing w:after="0" w:line="240" w:lineRule="auto"/>
        <w:rPr>
          <w:rFonts w:asciiTheme="majorHAnsi" w:hAnsiTheme="majorHAnsi"/>
        </w:rPr>
      </w:pPr>
      <w:r w:rsidRPr="00400C00">
        <w:rPr>
          <w:rFonts w:asciiTheme="majorHAnsi" w:hAnsiTheme="majorHAnsi"/>
          <w:b/>
          <w:u w:val="single"/>
        </w:rPr>
        <w:t>Adjusted Indirect Comparison</w:t>
      </w:r>
      <w:r w:rsidRPr="00400C00">
        <w:rPr>
          <w:rFonts w:asciiTheme="majorHAnsi" w:hAnsiTheme="majorHAnsi"/>
        </w:rPr>
        <w:t xml:space="preserve"> (AIC) – různé intervence se porovnávají vždy vůči jedné (např. vůči placebu) </w:t>
      </w:r>
      <w:r w:rsidRPr="00400C00">
        <w:rPr>
          <w:rFonts w:asciiTheme="majorHAnsi" w:hAnsiTheme="majorHAnsi"/>
        </w:rPr>
        <w:br/>
      </w:r>
      <w:r w:rsidRPr="00400C00">
        <w:rPr>
          <w:rFonts w:asciiTheme="majorHAnsi" w:hAnsiTheme="majorHAnsi"/>
        </w:rPr>
        <w:br/>
      </w:r>
      <w:r w:rsidRPr="00400C00">
        <w:rPr>
          <w:rFonts w:asciiTheme="majorHAnsi" w:hAnsiTheme="majorHAnsi"/>
          <w:noProof/>
          <w:lang w:val="en-US"/>
        </w:rPr>
        <w:drawing>
          <wp:inline distT="0" distB="0" distL="0" distR="0" wp14:anchorId="532FF746" wp14:editId="70900536">
            <wp:extent cx="2009775" cy="50673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506730"/>
                    </a:xfrm>
                    <a:prstGeom prst="rect">
                      <a:avLst/>
                    </a:prstGeom>
                    <a:noFill/>
                    <a:ln>
                      <a:noFill/>
                    </a:ln>
                  </pic:spPr>
                </pic:pic>
              </a:graphicData>
            </a:graphic>
          </wp:inline>
        </w:drawing>
      </w:r>
    </w:p>
    <w:p w14:paraId="1BB67F2D" w14:textId="14EF067C" w:rsidR="00400C00" w:rsidRPr="00400C00" w:rsidRDefault="00400C00" w:rsidP="00400C00">
      <w:pPr>
        <w:numPr>
          <w:ilvl w:val="0"/>
          <w:numId w:val="22"/>
        </w:numPr>
        <w:spacing w:after="0" w:line="240" w:lineRule="auto"/>
        <w:rPr>
          <w:rFonts w:asciiTheme="majorHAnsi" w:hAnsiTheme="majorHAnsi"/>
        </w:rPr>
      </w:pPr>
      <w:r w:rsidRPr="00400C00">
        <w:rPr>
          <w:rFonts w:asciiTheme="majorHAnsi" w:hAnsiTheme="majorHAnsi"/>
          <w:b/>
          <w:u w:val="single"/>
        </w:rPr>
        <w:t>Mixed Treatment Comparison/ Network Meta-Analysis</w:t>
      </w:r>
      <w:r w:rsidRPr="00400C00">
        <w:rPr>
          <w:rFonts w:asciiTheme="majorHAnsi" w:hAnsiTheme="majorHAnsi"/>
        </w:rPr>
        <w:t xml:space="preserve"> (NMET) - různé intervence se porovnávají vzájemně vůči sobě s tím, že do porovnání  je zahrnuto více zdrojových podkladů</w:t>
      </w:r>
      <w:r w:rsidRPr="00400C00">
        <w:rPr>
          <w:rFonts w:asciiTheme="majorHAnsi" w:hAnsiTheme="majorHAnsi"/>
        </w:rPr>
        <w:br/>
      </w:r>
      <w:r w:rsidRPr="00400C00">
        <w:rPr>
          <w:rFonts w:asciiTheme="majorHAnsi" w:hAnsiTheme="majorHAnsi"/>
        </w:rPr>
        <w:br/>
      </w:r>
      <w:r w:rsidRPr="00400C00">
        <w:rPr>
          <w:rFonts w:asciiTheme="majorHAnsi" w:hAnsiTheme="majorHAnsi"/>
          <w:noProof/>
          <w:lang w:val="en-US"/>
        </w:rPr>
        <w:drawing>
          <wp:inline distT="0" distB="0" distL="0" distR="0" wp14:anchorId="722E29F1" wp14:editId="52334BC8">
            <wp:extent cx="2236470" cy="79692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6470" cy="796925"/>
                    </a:xfrm>
                    <a:prstGeom prst="rect">
                      <a:avLst/>
                    </a:prstGeom>
                    <a:noFill/>
                    <a:ln>
                      <a:noFill/>
                    </a:ln>
                  </pic:spPr>
                </pic:pic>
              </a:graphicData>
            </a:graphic>
          </wp:inline>
        </w:drawing>
      </w:r>
    </w:p>
    <w:p w14:paraId="4339A4DC" w14:textId="77777777" w:rsidR="00400C00" w:rsidRPr="00400C00" w:rsidRDefault="00400C00" w:rsidP="00400C00">
      <w:pPr>
        <w:rPr>
          <w:rFonts w:asciiTheme="majorHAnsi" w:hAnsiTheme="majorHAnsi"/>
        </w:rPr>
      </w:pPr>
    </w:p>
    <w:p w14:paraId="157658A7" w14:textId="77777777" w:rsidR="00400C00" w:rsidRPr="00400C00" w:rsidRDefault="00400C00" w:rsidP="00400C00">
      <w:pPr>
        <w:rPr>
          <w:rFonts w:asciiTheme="majorHAnsi" w:hAnsiTheme="majorHAnsi"/>
        </w:rPr>
      </w:pPr>
      <w:r w:rsidRPr="00400C00">
        <w:rPr>
          <w:rFonts w:asciiTheme="majorHAnsi" w:hAnsiTheme="majorHAnsi"/>
        </w:rPr>
        <w:t>Volba konkrétní  metody nepřímého srovnání závisí zejména na:</w:t>
      </w:r>
    </w:p>
    <w:p w14:paraId="7833B224" w14:textId="77777777" w:rsidR="00400C00" w:rsidRPr="00400C00" w:rsidRDefault="00400C00" w:rsidP="00400C00">
      <w:pPr>
        <w:numPr>
          <w:ilvl w:val="0"/>
          <w:numId w:val="23"/>
        </w:numPr>
        <w:spacing w:after="0" w:line="240" w:lineRule="auto"/>
        <w:rPr>
          <w:rFonts w:asciiTheme="majorHAnsi" w:hAnsiTheme="majorHAnsi"/>
        </w:rPr>
      </w:pPr>
      <w:r w:rsidRPr="00400C00">
        <w:rPr>
          <w:rFonts w:asciiTheme="majorHAnsi" w:hAnsiTheme="majorHAnsi"/>
        </w:rPr>
        <w:t>Počtu RI</w:t>
      </w:r>
    </w:p>
    <w:p w14:paraId="7246071C" w14:textId="77777777" w:rsidR="00400C00" w:rsidRPr="00400C00" w:rsidRDefault="00400C00" w:rsidP="00400C00">
      <w:pPr>
        <w:numPr>
          <w:ilvl w:val="0"/>
          <w:numId w:val="23"/>
        </w:numPr>
        <w:spacing w:after="0" w:line="240" w:lineRule="auto"/>
        <w:rPr>
          <w:rFonts w:asciiTheme="majorHAnsi" w:hAnsiTheme="majorHAnsi"/>
        </w:rPr>
      </w:pPr>
      <w:r w:rsidRPr="00400C00">
        <w:rPr>
          <w:rFonts w:asciiTheme="majorHAnsi" w:hAnsiTheme="majorHAnsi"/>
        </w:rPr>
        <w:t>Množství, typu a validitě důkazů pro hodnocenou intervenci a RI</w:t>
      </w:r>
    </w:p>
    <w:p w14:paraId="038BBD14" w14:textId="77777777" w:rsidR="00400C00" w:rsidRPr="00400C00" w:rsidRDefault="00400C00" w:rsidP="00400C00">
      <w:pPr>
        <w:rPr>
          <w:rFonts w:asciiTheme="majorHAnsi" w:hAnsiTheme="majorHAnsi"/>
        </w:rPr>
      </w:pPr>
    </w:p>
    <w:p w14:paraId="22E15E24" w14:textId="77777777" w:rsidR="00400C00" w:rsidRPr="00400C00" w:rsidRDefault="00400C00" w:rsidP="00400C00">
      <w:pPr>
        <w:rPr>
          <w:rFonts w:asciiTheme="majorHAnsi" w:hAnsiTheme="majorHAnsi"/>
        </w:rPr>
      </w:pPr>
      <w:r w:rsidRPr="00400C00">
        <w:rPr>
          <w:rFonts w:asciiTheme="majorHAnsi" w:hAnsiTheme="majorHAnsi"/>
        </w:rPr>
        <w:t>Počet RI je dán správným výběrem komparátora a je předmětem předchozích kapitol. V dalším textu se proto věnujeme metodice systematického zajištění relevantních důkazů (Systematic Literature Review - dále SLR) a jejich zpracování, aby výsledky CER  byly VALIDNÍ, OBSÁHLÉ a RELEVANTNÍ.</w:t>
      </w:r>
    </w:p>
    <w:p w14:paraId="3AE5558F" w14:textId="77777777" w:rsidR="00400C00" w:rsidRPr="00400C00" w:rsidRDefault="00400C00" w:rsidP="00400C00">
      <w:pPr>
        <w:rPr>
          <w:rFonts w:asciiTheme="majorHAnsi" w:hAnsiTheme="majorHAnsi"/>
        </w:rPr>
      </w:pPr>
    </w:p>
    <w:p w14:paraId="0B10178F" w14:textId="57C73BC0" w:rsidR="00400C00" w:rsidRPr="00400C00" w:rsidRDefault="0007402A" w:rsidP="00400C00">
      <w:pPr>
        <w:rPr>
          <w:rFonts w:asciiTheme="majorHAnsi" w:hAnsiTheme="majorHAnsi"/>
          <w:b/>
          <w:sz w:val="24"/>
          <w:u w:val="single"/>
        </w:rPr>
      </w:pPr>
      <w:r>
        <w:rPr>
          <w:rFonts w:asciiTheme="majorHAnsi" w:hAnsiTheme="majorHAnsi"/>
          <w:b/>
          <w:sz w:val="24"/>
          <w:u w:val="single"/>
        </w:rPr>
        <w:t>Systematic Literature Review</w:t>
      </w:r>
    </w:p>
    <w:p w14:paraId="411492A0" w14:textId="77777777" w:rsidR="00400C00" w:rsidRPr="00400C00" w:rsidRDefault="00400C00" w:rsidP="00400C00">
      <w:pPr>
        <w:rPr>
          <w:rFonts w:asciiTheme="majorHAnsi" w:hAnsiTheme="majorHAnsi"/>
        </w:rPr>
      </w:pPr>
      <w:r w:rsidRPr="00400C00">
        <w:rPr>
          <w:rFonts w:asciiTheme="majorHAnsi" w:hAnsiTheme="majorHAnsi"/>
        </w:rPr>
        <w:t xml:space="preserve">Ať je SLR provedeno sebelépe, je třeba pracovat s určitou mírou nejistoty s vědomím, že se nepodařilo zajistit 100% všechny důkazy. </w:t>
      </w:r>
      <w:r w:rsidRPr="00400C00">
        <w:rPr>
          <w:rFonts w:asciiTheme="majorHAnsi" w:hAnsiTheme="majorHAnsi"/>
          <w:b/>
        </w:rPr>
        <w:t>Cílem SLR však je zajistit takové efektivní množství důkazů, aby výsledky CER  byly VALIDNÍ, OBSÁHLÉ a RELEVANTNÍ</w:t>
      </w:r>
      <w:r w:rsidRPr="00400C00">
        <w:rPr>
          <w:rFonts w:asciiTheme="majorHAnsi" w:hAnsiTheme="majorHAnsi"/>
        </w:rPr>
        <w:t>. Základními typy důkazů jsou zejména:</w:t>
      </w:r>
    </w:p>
    <w:p w14:paraId="4D49C8E9" w14:textId="77777777" w:rsidR="00400C00" w:rsidRPr="00400C00" w:rsidRDefault="00400C00" w:rsidP="00400C00">
      <w:pPr>
        <w:numPr>
          <w:ilvl w:val="0"/>
          <w:numId w:val="24"/>
        </w:numPr>
        <w:spacing w:after="0" w:line="240" w:lineRule="auto"/>
        <w:rPr>
          <w:rFonts w:asciiTheme="majorHAnsi" w:hAnsiTheme="majorHAnsi"/>
        </w:rPr>
      </w:pPr>
      <w:r w:rsidRPr="00400C00">
        <w:rPr>
          <w:rFonts w:asciiTheme="majorHAnsi" w:hAnsiTheme="majorHAnsi"/>
        </w:rPr>
        <w:t>Randomizované klinické studie (RCT)</w:t>
      </w:r>
    </w:p>
    <w:p w14:paraId="22AD62BF" w14:textId="77777777" w:rsidR="00400C00" w:rsidRPr="00400C00" w:rsidRDefault="00400C00" w:rsidP="00400C00">
      <w:pPr>
        <w:numPr>
          <w:ilvl w:val="1"/>
          <w:numId w:val="25"/>
        </w:numPr>
        <w:spacing w:after="0" w:line="240" w:lineRule="auto"/>
        <w:rPr>
          <w:rFonts w:asciiTheme="majorHAnsi" w:hAnsiTheme="majorHAnsi"/>
        </w:rPr>
      </w:pPr>
      <w:r w:rsidRPr="00400C00">
        <w:rPr>
          <w:rFonts w:asciiTheme="majorHAnsi" w:hAnsiTheme="majorHAnsi"/>
        </w:rPr>
        <w:t>Různé fáze</w:t>
      </w:r>
    </w:p>
    <w:p w14:paraId="70B1F387" w14:textId="77777777" w:rsidR="00400C00" w:rsidRPr="00400C00" w:rsidRDefault="00400C00" w:rsidP="00400C00">
      <w:pPr>
        <w:numPr>
          <w:ilvl w:val="1"/>
          <w:numId w:val="25"/>
        </w:numPr>
        <w:spacing w:after="0" w:line="240" w:lineRule="auto"/>
        <w:rPr>
          <w:rFonts w:asciiTheme="majorHAnsi" w:hAnsiTheme="majorHAnsi"/>
        </w:rPr>
      </w:pPr>
      <w:r w:rsidRPr="00400C00">
        <w:rPr>
          <w:rFonts w:asciiTheme="majorHAnsi" w:hAnsiTheme="majorHAnsi"/>
        </w:rPr>
        <w:t>Kontrolované/nekontrolované</w:t>
      </w:r>
    </w:p>
    <w:p w14:paraId="75D88072" w14:textId="77777777" w:rsidR="00400C00" w:rsidRPr="00400C00" w:rsidRDefault="00400C00" w:rsidP="00400C00">
      <w:pPr>
        <w:numPr>
          <w:ilvl w:val="1"/>
          <w:numId w:val="25"/>
        </w:numPr>
        <w:spacing w:after="0" w:line="240" w:lineRule="auto"/>
        <w:rPr>
          <w:rFonts w:asciiTheme="majorHAnsi" w:hAnsiTheme="majorHAnsi"/>
        </w:rPr>
      </w:pPr>
      <w:r w:rsidRPr="00400C00">
        <w:rPr>
          <w:rFonts w:asciiTheme="majorHAnsi" w:hAnsiTheme="majorHAnsi"/>
        </w:rPr>
        <w:t>Jednoramenné/víceramenné</w:t>
      </w:r>
    </w:p>
    <w:p w14:paraId="0DC47FBE" w14:textId="77777777" w:rsidR="00400C00" w:rsidRPr="00400C00" w:rsidRDefault="00400C00" w:rsidP="00400C00">
      <w:pPr>
        <w:numPr>
          <w:ilvl w:val="0"/>
          <w:numId w:val="24"/>
        </w:numPr>
        <w:spacing w:after="0" w:line="240" w:lineRule="auto"/>
        <w:rPr>
          <w:rFonts w:asciiTheme="majorHAnsi" w:hAnsiTheme="majorHAnsi"/>
        </w:rPr>
      </w:pPr>
      <w:r w:rsidRPr="00400C00">
        <w:rPr>
          <w:rFonts w:asciiTheme="majorHAnsi" w:hAnsiTheme="majorHAnsi"/>
        </w:rPr>
        <w:t>Data z reálné klinické praxe</w:t>
      </w:r>
    </w:p>
    <w:p w14:paraId="466545E9" w14:textId="77777777" w:rsidR="00400C00" w:rsidRPr="00400C00" w:rsidRDefault="00400C00" w:rsidP="00400C00">
      <w:pPr>
        <w:numPr>
          <w:ilvl w:val="0"/>
          <w:numId w:val="24"/>
        </w:numPr>
        <w:spacing w:after="0" w:line="240" w:lineRule="auto"/>
        <w:rPr>
          <w:rFonts w:asciiTheme="majorHAnsi" w:hAnsiTheme="majorHAnsi"/>
        </w:rPr>
      </w:pPr>
      <w:r w:rsidRPr="00400C00">
        <w:rPr>
          <w:rFonts w:asciiTheme="majorHAnsi" w:hAnsiTheme="majorHAnsi"/>
        </w:rPr>
        <w:lastRenderedPageBreak/>
        <w:t>Metaanalýzy</w:t>
      </w:r>
    </w:p>
    <w:p w14:paraId="3637C3BA" w14:textId="77777777" w:rsidR="00400C00" w:rsidRPr="00400C00" w:rsidRDefault="00400C00" w:rsidP="00400C00">
      <w:pPr>
        <w:numPr>
          <w:ilvl w:val="0"/>
          <w:numId w:val="24"/>
        </w:numPr>
        <w:spacing w:after="0" w:line="240" w:lineRule="auto"/>
        <w:rPr>
          <w:rFonts w:asciiTheme="majorHAnsi" w:hAnsiTheme="majorHAnsi"/>
        </w:rPr>
      </w:pPr>
      <w:r w:rsidRPr="00400C00">
        <w:rPr>
          <w:rFonts w:asciiTheme="majorHAnsi" w:hAnsiTheme="majorHAnsi"/>
        </w:rPr>
        <w:t>Posters</w:t>
      </w:r>
    </w:p>
    <w:p w14:paraId="145C865F" w14:textId="77777777" w:rsidR="00400C00" w:rsidRPr="00400C00" w:rsidRDefault="00400C00" w:rsidP="00400C00">
      <w:pPr>
        <w:numPr>
          <w:ilvl w:val="0"/>
          <w:numId w:val="24"/>
        </w:numPr>
        <w:spacing w:after="0" w:line="240" w:lineRule="auto"/>
        <w:rPr>
          <w:rFonts w:asciiTheme="majorHAnsi" w:hAnsiTheme="majorHAnsi"/>
        </w:rPr>
      </w:pPr>
      <w:r w:rsidRPr="00400C00">
        <w:rPr>
          <w:rFonts w:asciiTheme="majorHAnsi" w:hAnsiTheme="majorHAnsi"/>
        </w:rPr>
        <w:t>Abstracts</w:t>
      </w:r>
    </w:p>
    <w:p w14:paraId="3C9BAF26" w14:textId="77777777" w:rsidR="00400C00" w:rsidRPr="00400C00" w:rsidRDefault="00400C00" w:rsidP="00400C00">
      <w:pPr>
        <w:numPr>
          <w:ilvl w:val="0"/>
          <w:numId w:val="24"/>
        </w:numPr>
        <w:spacing w:after="0" w:line="240" w:lineRule="auto"/>
        <w:rPr>
          <w:rFonts w:asciiTheme="majorHAnsi" w:hAnsiTheme="majorHAnsi"/>
        </w:rPr>
      </w:pPr>
      <w:r w:rsidRPr="00400C00">
        <w:rPr>
          <w:rFonts w:asciiTheme="majorHAnsi" w:hAnsiTheme="majorHAnsi"/>
        </w:rPr>
        <w:t>Názory expertů</w:t>
      </w:r>
    </w:p>
    <w:p w14:paraId="3B9B06F8" w14:textId="77777777" w:rsidR="00400C00" w:rsidRPr="00400C00" w:rsidRDefault="00400C00" w:rsidP="00400C00">
      <w:pPr>
        <w:numPr>
          <w:ilvl w:val="0"/>
          <w:numId w:val="24"/>
        </w:numPr>
        <w:spacing w:after="0" w:line="240" w:lineRule="auto"/>
        <w:rPr>
          <w:rFonts w:asciiTheme="majorHAnsi" w:hAnsiTheme="majorHAnsi"/>
        </w:rPr>
      </w:pPr>
      <w:r w:rsidRPr="00400C00">
        <w:rPr>
          <w:rFonts w:asciiTheme="majorHAnsi" w:hAnsiTheme="majorHAnsi"/>
        </w:rPr>
        <w:t>Doporučené postupy</w:t>
      </w:r>
    </w:p>
    <w:p w14:paraId="45671A7B" w14:textId="77777777" w:rsidR="00400C00" w:rsidRPr="00400C00" w:rsidRDefault="00400C00" w:rsidP="00400C00">
      <w:pPr>
        <w:rPr>
          <w:rFonts w:asciiTheme="majorHAnsi" w:hAnsiTheme="majorHAnsi"/>
        </w:rPr>
      </w:pPr>
    </w:p>
    <w:p w14:paraId="1F6FB7FA" w14:textId="77777777" w:rsidR="00400C00" w:rsidRPr="00400C00" w:rsidRDefault="00400C00" w:rsidP="00400C00">
      <w:pPr>
        <w:rPr>
          <w:rFonts w:asciiTheme="majorHAnsi" w:hAnsiTheme="majorHAnsi"/>
        </w:rPr>
      </w:pPr>
      <w:r w:rsidRPr="00400C00">
        <w:rPr>
          <w:rFonts w:asciiTheme="majorHAnsi" w:hAnsiTheme="majorHAnsi"/>
        </w:rPr>
        <w:t xml:space="preserve">Popis hierarchie úrovně klinických důkazů lze v literatuře dohledat v mnoha zdrojích, přičemž odlišnosti jsou ve většině případů minimální. SUKL ve své Metodice hodnocení nákladové efektivity používá  odkaz na </w:t>
      </w:r>
      <w:r w:rsidRPr="00400C00">
        <w:rPr>
          <w:rFonts w:asciiTheme="majorHAnsi" w:hAnsiTheme="majorHAnsi"/>
          <w:bCs/>
        </w:rPr>
        <w:t xml:space="preserve">Oxford centre for EBM 2011 </w:t>
      </w:r>
      <w:r w:rsidRPr="00400C00">
        <w:rPr>
          <w:rFonts w:asciiTheme="majorHAnsi" w:hAnsiTheme="majorHAnsi"/>
        </w:rPr>
        <w:t>(</w:t>
      </w:r>
      <w:hyperlink r:id="rId20" w:history="1">
        <w:r w:rsidRPr="00400C00">
          <w:rPr>
            <w:rStyle w:val="Hyperlink"/>
            <w:rFonts w:asciiTheme="majorHAnsi" w:hAnsiTheme="majorHAnsi"/>
            <w:color w:val="auto"/>
          </w:rPr>
          <w:t>http://www.cebm.net/mod_product/design/files/CEBM-Levels-of-Evidence-2.1.pdf</w:t>
        </w:r>
      </w:hyperlink>
      <w:r w:rsidRPr="00400C00">
        <w:rPr>
          <w:rFonts w:asciiTheme="majorHAnsi" w:hAnsiTheme="majorHAnsi"/>
        </w:rPr>
        <w:t>). Pro naše účely jsme vycházeli z následujícího členění, které je dle našeho názoru v praxi lépe pochopitelné:</w:t>
      </w:r>
    </w:p>
    <w:p w14:paraId="1BF1BCC0" w14:textId="77777777" w:rsidR="00400C00" w:rsidRPr="00400C00" w:rsidRDefault="00400C00" w:rsidP="00400C00">
      <w:pPr>
        <w:widowControl w:val="0"/>
        <w:numPr>
          <w:ilvl w:val="0"/>
          <w:numId w:val="32"/>
        </w:numPr>
        <w:tabs>
          <w:tab w:val="left" w:pos="220"/>
        </w:tabs>
        <w:autoSpaceDE w:val="0"/>
        <w:autoSpaceDN w:val="0"/>
        <w:adjustRightInd w:val="0"/>
        <w:spacing w:after="0" w:line="240" w:lineRule="auto"/>
        <w:rPr>
          <w:rFonts w:asciiTheme="majorHAnsi" w:hAnsiTheme="majorHAnsi" w:cs="Verdana"/>
          <w:b/>
          <w:sz w:val="24"/>
          <w:lang w:val="en-US"/>
        </w:rPr>
      </w:pPr>
      <w:r w:rsidRPr="00400C00">
        <w:rPr>
          <w:rFonts w:asciiTheme="majorHAnsi" w:hAnsiTheme="majorHAnsi" w:cs="Verdana"/>
          <w:b/>
          <w:sz w:val="24"/>
          <w:lang w:val="en-US"/>
        </w:rPr>
        <w:t>Systematic reviews and meta-analyses</w:t>
      </w:r>
    </w:p>
    <w:p w14:paraId="23E2DDCE" w14:textId="77777777" w:rsidR="00400C00" w:rsidRPr="00400C00" w:rsidRDefault="00400C00" w:rsidP="00400C00">
      <w:pPr>
        <w:widowControl w:val="0"/>
        <w:numPr>
          <w:ilvl w:val="0"/>
          <w:numId w:val="32"/>
        </w:numPr>
        <w:tabs>
          <w:tab w:val="left" w:pos="220"/>
        </w:tabs>
        <w:autoSpaceDE w:val="0"/>
        <w:autoSpaceDN w:val="0"/>
        <w:adjustRightInd w:val="0"/>
        <w:spacing w:after="0" w:line="240" w:lineRule="auto"/>
        <w:rPr>
          <w:rFonts w:asciiTheme="majorHAnsi" w:hAnsiTheme="majorHAnsi" w:cs="Verdana"/>
          <w:b/>
          <w:sz w:val="24"/>
          <w:lang w:val="en-US"/>
        </w:rPr>
      </w:pPr>
      <w:r w:rsidRPr="00400C00">
        <w:rPr>
          <w:rFonts w:asciiTheme="majorHAnsi" w:hAnsiTheme="majorHAnsi" w:cs="Verdana"/>
          <w:b/>
          <w:sz w:val="24"/>
          <w:lang w:val="en-US"/>
        </w:rPr>
        <w:t>Randomised controlled trials (RCT) with definitive results (confidence intervals that do not overlap the threshold clinically significant effect)</w:t>
      </w:r>
    </w:p>
    <w:p w14:paraId="5163E953" w14:textId="77777777" w:rsidR="00400C00" w:rsidRPr="00400C00" w:rsidRDefault="00400C00" w:rsidP="00400C00">
      <w:pPr>
        <w:widowControl w:val="0"/>
        <w:numPr>
          <w:ilvl w:val="0"/>
          <w:numId w:val="32"/>
        </w:numPr>
        <w:tabs>
          <w:tab w:val="left" w:pos="220"/>
        </w:tabs>
        <w:autoSpaceDE w:val="0"/>
        <w:autoSpaceDN w:val="0"/>
        <w:adjustRightInd w:val="0"/>
        <w:spacing w:after="0" w:line="240" w:lineRule="auto"/>
        <w:rPr>
          <w:rFonts w:asciiTheme="majorHAnsi" w:hAnsiTheme="majorHAnsi" w:cs="Verdana"/>
          <w:b/>
          <w:sz w:val="24"/>
          <w:lang w:val="en-US"/>
        </w:rPr>
      </w:pPr>
      <w:r w:rsidRPr="00400C00">
        <w:rPr>
          <w:rFonts w:asciiTheme="majorHAnsi" w:hAnsiTheme="majorHAnsi" w:cs="Verdana"/>
          <w:b/>
          <w:sz w:val="24"/>
          <w:lang w:val="en-US"/>
        </w:rPr>
        <w:t>Randomised controlled trials with non-definitive results (a point estimate that suggests a clinically significant effect but with confidence intervals overlapping the threshold for this effect)</w:t>
      </w:r>
    </w:p>
    <w:p w14:paraId="00FAE58E" w14:textId="77777777" w:rsidR="00400C00" w:rsidRPr="00400C00" w:rsidRDefault="00400C00" w:rsidP="00400C00">
      <w:pPr>
        <w:widowControl w:val="0"/>
        <w:numPr>
          <w:ilvl w:val="0"/>
          <w:numId w:val="32"/>
        </w:numPr>
        <w:tabs>
          <w:tab w:val="left" w:pos="220"/>
        </w:tabs>
        <w:autoSpaceDE w:val="0"/>
        <w:autoSpaceDN w:val="0"/>
        <w:adjustRightInd w:val="0"/>
        <w:spacing w:after="0" w:line="240" w:lineRule="auto"/>
        <w:rPr>
          <w:rFonts w:asciiTheme="majorHAnsi" w:hAnsiTheme="majorHAnsi" w:cs="Verdana"/>
          <w:b/>
          <w:sz w:val="24"/>
          <w:lang w:val="en-US"/>
        </w:rPr>
      </w:pPr>
      <w:r w:rsidRPr="00400C00">
        <w:rPr>
          <w:rFonts w:asciiTheme="majorHAnsi" w:hAnsiTheme="majorHAnsi" w:cs="Verdana"/>
          <w:b/>
          <w:sz w:val="24"/>
          <w:lang w:val="en-US"/>
        </w:rPr>
        <w:t>Cohort studies</w:t>
      </w:r>
    </w:p>
    <w:p w14:paraId="3445283E" w14:textId="77777777" w:rsidR="00400C00" w:rsidRPr="00400C00" w:rsidRDefault="00400C00" w:rsidP="00400C00">
      <w:pPr>
        <w:widowControl w:val="0"/>
        <w:numPr>
          <w:ilvl w:val="0"/>
          <w:numId w:val="32"/>
        </w:numPr>
        <w:tabs>
          <w:tab w:val="left" w:pos="220"/>
        </w:tabs>
        <w:autoSpaceDE w:val="0"/>
        <w:autoSpaceDN w:val="0"/>
        <w:adjustRightInd w:val="0"/>
        <w:spacing w:after="0" w:line="240" w:lineRule="auto"/>
        <w:rPr>
          <w:rFonts w:asciiTheme="majorHAnsi" w:hAnsiTheme="majorHAnsi" w:cs="Verdana"/>
          <w:b/>
          <w:sz w:val="24"/>
          <w:lang w:val="en-US"/>
        </w:rPr>
      </w:pPr>
      <w:r w:rsidRPr="00400C00">
        <w:rPr>
          <w:rFonts w:asciiTheme="majorHAnsi" w:hAnsiTheme="majorHAnsi" w:cs="Verdana"/>
          <w:b/>
          <w:sz w:val="24"/>
          <w:lang w:val="en-US"/>
        </w:rPr>
        <w:t>Case-control studies</w:t>
      </w:r>
    </w:p>
    <w:p w14:paraId="5C259A14" w14:textId="77777777" w:rsidR="00400C00" w:rsidRPr="00400C00" w:rsidRDefault="00400C00" w:rsidP="00400C00">
      <w:pPr>
        <w:widowControl w:val="0"/>
        <w:numPr>
          <w:ilvl w:val="0"/>
          <w:numId w:val="32"/>
        </w:numPr>
        <w:tabs>
          <w:tab w:val="left" w:pos="220"/>
        </w:tabs>
        <w:autoSpaceDE w:val="0"/>
        <w:autoSpaceDN w:val="0"/>
        <w:adjustRightInd w:val="0"/>
        <w:spacing w:after="0" w:line="240" w:lineRule="auto"/>
        <w:rPr>
          <w:rFonts w:asciiTheme="majorHAnsi" w:hAnsiTheme="majorHAnsi" w:cs="Verdana"/>
          <w:b/>
          <w:sz w:val="24"/>
          <w:lang w:val="en-US"/>
        </w:rPr>
      </w:pPr>
      <w:r w:rsidRPr="00400C00">
        <w:rPr>
          <w:rFonts w:asciiTheme="majorHAnsi" w:hAnsiTheme="majorHAnsi" w:cs="Verdana"/>
          <w:b/>
          <w:sz w:val="24"/>
          <w:lang w:val="en-US"/>
        </w:rPr>
        <w:t>Cross sectional surveys</w:t>
      </w:r>
    </w:p>
    <w:p w14:paraId="2994E884" w14:textId="77777777" w:rsidR="00400C00" w:rsidRPr="00400C00" w:rsidRDefault="00400C00" w:rsidP="00400C00">
      <w:pPr>
        <w:numPr>
          <w:ilvl w:val="0"/>
          <w:numId w:val="32"/>
        </w:numPr>
        <w:spacing w:after="0" w:line="240" w:lineRule="auto"/>
        <w:rPr>
          <w:rFonts w:asciiTheme="majorHAnsi" w:hAnsiTheme="majorHAnsi"/>
          <w:sz w:val="24"/>
        </w:rPr>
      </w:pPr>
      <w:r w:rsidRPr="00400C00">
        <w:rPr>
          <w:rFonts w:asciiTheme="majorHAnsi" w:hAnsiTheme="majorHAnsi" w:cs="Verdana"/>
          <w:b/>
          <w:sz w:val="24"/>
          <w:lang w:val="en-US"/>
        </w:rPr>
        <w:t>Case reports</w:t>
      </w:r>
    </w:p>
    <w:p w14:paraId="50A8D9AF" w14:textId="77777777" w:rsidR="00400C00" w:rsidRPr="00400C00" w:rsidRDefault="00400C00" w:rsidP="00400C00">
      <w:pPr>
        <w:rPr>
          <w:rFonts w:asciiTheme="majorHAnsi" w:hAnsiTheme="majorHAnsi"/>
          <w:i/>
          <w:sz w:val="20"/>
          <w:szCs w:val="20"/>
        </w:rPr>
      </w:pPr>
      <w:r w:rsidRPr="00400C00">
        <w:rPr>
          <w:rFonts w:asciiTheme="majorHAnsi" w:hAnsiTheme="majorHAnsi"/>
          <w:b/>
          <w:i/>
          <w:sz w:val="20"/>
          <w:szCs w:val="20"/>
          <w:u w:val="single"/>
        </w:rPr>
        <w:t>Zdroj:</w:t>
      </w:r>
      <w:r w:rsidRPr="00400C00">
        <w:rPr>
          <w:rFonts w:asciiTheme="majorHAnsi" w:hAnsiTheme="majorHAnsi"/>
          <w:i/>
          <w:sz w:val="20"/>
          <w:szCs w:val="20"/>
        </w:rPr>
        <w:t xml:space="preserve"> </w:t>
      </w:r>
      <w:hyperlink r:id="rId21" w:history="1">
        <w:r w:rsidRPr="00400C00">
          <w:rPr>
            <w:rStyle w:val="Hyperlink"/>
            <w:rFonts w:asciiTheme="majorHAnsi" w:hAnsiTheme="majorHAnsi"/>
            <w:i/>
            <w:color w:val="auto"/>
            <w:sz w:val="20"/>
            <w:szCs w:val="20"/>
          </w:rPr>
          <w:t>http://www.healthknowledge.org.uk/public-health-textbook/research-methods/1a-epidemiology/hierarchy-research-evidence</w:t>
        </w:r>
      </w:hyperlink>
      <w:r w:rsidRPr="00400C00">
        <w:rPr>
          <w:rFonts w:asciiTheme="majorHAnsi" w:hAnsiTheme="majorHAnsi"/>
          <w:i/>
          <w:sz w:val="20"/>
          <w:szCs w:val="20"/>
        </w:rPr>
        <w:t xml:space="preserve"> </w:t>
      </w:r>
    </w:p>
    <w:p w14:paraId="78B3DE38" w14:textId="77777777" w:rsidR="00400C00" w:rsidRPr="00400C00" w:rsidRDefault="00400C00" w:rsidP="00400C00">
      <w:pPr>
        <w:rPr>
          <w:rFonts w:asciiTheme="majorHAnsi" w:hAnsiTheme="majorHAnsi"/>
        </w:rPr>
      </w:pPr>
    </w:p>
    <w:p w14:paraId="27610DC5" w14:textId="77777777" w:rsidR="00400C00" w:rsidRPr="00400C00" w:rsidRDefault="00400C00" w:rsidP="00400C00">
      <w:pPr>
        <w:rPr>
          <w:rFonts w:asciiTheme="majorHAnsi" w:hAnsiTheme="majorHAnsi"/>
        </w:rPr>
      </w:pPr>
      <w:r w:rsidRPr="00400C00">
        <w:rPr>
          <w:rFonts w:asciiTheme="majorHAnsi" w:hAnsiTheme="majorHAnsi"/>
        </w:rPr>
        <w:t>Pro inspiraci uvádíme ještě dva další odkazy (</w:t>
      </w:r>
      <w:hyperlink r:id="rId22" w:history="1">
        <w:r w:rsidRPr="00400C00">
          <w:rPr>
            <w:rStyle w:val="Hyperlink"/>
            <w:rFonts w:asciiTheme="majorHAnsi" w:hAnsiTheme="majorHAnsi"/>
            <w:color w:val="auto"/>
          </w:rPr>
          <w:t>http://circ.ahajournals.org/content/118/16/1675.full</w:t>
        </w:r>
      </w:hyperlink>
      <w:r w:rsidRPr="00400C00">
        <w:rPr>
          <w:rFonts w:asciiTheme="majorHAnsi" w:hAnsiTheme="majorHAnsi"/>
        </w:rPr>
        <w:t xml:space="preserve">, </w:t>
      </w:r>
      <w:hyperlink r:id="rId23" w:history="1">
        <w:r w:rsidRPr="00400C00">
          <w:rPr>
            <w:rStyle w:val="Hyperlink"/>
            <w:rFonts w:asciiTheme="majorHAnsi" w:hAnsiTheme="majorHAnsi"/>
            <w:color w:val="auto"/>
          </w:rPr>
          <w:t>http://www.acc.co.nz/for-providers/clinical-best-practice/acc-review/WCMZ003160</w:t>
        </w:r>
      </w:hyperlink>
      <w:r w:rsidRPr="00400C00">
        <w:rPr>
          <w:rFonts w:asciiTheme="majorHAnsi" w:hAnsiTheme="majorHAnsi"/>
        </w:rPr>
        <w:t>)</w:t>
      </w:r>
    </w:p>
    <w:p w14:paraId="17121CD6" w14:textId="60B8DD08" w:rsidR="00400C00" w:rsidRPr="00400C00" w:rsidRDefault="00400C00" w:rsidP="00400C00">
      <w:pPr>
        <w:rPr>
          <w:rFonts w:asciiTheme="majorHAnsi" w:hAnsiTheme="majorHAnsi"/>
        </w:rPr>
      </w:pPr>
      <w:r w:rsidRPr="00400C00">
        <w:rPr>
          <w:rFonts w:asciiTheme="majorHAnsi" w:hAnsiTheme="majorHAnsi"/>
        </w:rPr>
        <w:t>Vyhledávání důkazů je časově i finančně náročné a hovoříme-li o SLR, máme tím na</w:t>
      </w:r>
      <w:r w:rsidR="00797ABB">
        <w:rPr>
          <w:rFonts w:asciiTheme="majorHAnsi" w:hAnsiTheme="majorHAnsi"/>
        </w:rPr>
        <w:t xml:space="preserve"> </w:t>
      </w:r>
      <w:r w:rsidRPr="00400C00">
        <w:rPr>
          <w:rFonts w:asciiTheme="majorHAnsi" w:hAnsiTheme="majorHAnsi"/>
        </w:rPr>
        <w:t>mysli systematické vyhledání důkazů k dalšímu použití, v našem případě pro potřeby NMET (viz.</w:t>
      </w:r>
      <w:r w:rsidR="00797ABB">
        <w:rPr>
          <w:rFonts w:asciiTheme="majorHAnsi" w:hAnsiTheme="majorHAnsi"/>
        </w:rPr>
        <w:t xml:space="preserve"> </w:t>
      </w:r>
      <w:r w:rsidRPr="00400C00">
        <w:rPr>
          <w:rFonts w:asciiTheme="majorHAnsi" w:hAnsiTheme="majorHAnsi"/>
        </w:rPr>
        <w:t>následující obrázek):</w:t>
      </w:r>
    </w:p>
    <w:p w14:paraId="2CE90C45" w14:textId="77777777" w:rsidR="00400C00" w:rsidRPr="00400C00" w:rsidRDefault="00400C00" w:rsidP="00400C00">
      <w:pPr>
        <w:rPr>
          <w:rFonts w:asciiTheme="majorHAnsi" w:hAnsiTheme="majorHAnsi"/>
        </w:rPr>
      </w:pPr>
    </w:p>
    <w:p w14:paraId="03887455" w14:textId="77777777" w:rsidR="00400C00" w:rsidRPr="00400C00" w:rsidRDefault="00400C00" w:rsidP="00400C00">
      <w:pPr>
        <w:rPr>
          <w:rFonts w:asciiTheme="majorHAnsi" w:hAnsiTheme="majorHAnsi"/>
        </w:rPr>
      </w:pPr>
    </w:p>
    <w:p w14:paraId="24E39C60" w14:textId="43263429" w:rsidR="00400C00" w:rsidRPr="00400C00" w:rsidRDefault="00400C00" w:rsidP="00400C00">
      <w:pPr>
        <w:rPr>
          <w:rFonts w:asciiTheme="majorHAnsi" w:hAnsiTheme="majorHAnsi"/>
        </w:rPr>
      </w:pPr>
      <w:r w:rsidRPr="00400C00">
        <w:rPr>
          <w:rFonts w:asciiTheme="majorHAnsi" w:hAnsiTheme="majorHAnsi"/>
          <w:noProof/>
          <w:lang w:val="en-US"/>
        </w:rPr>
        <w:lastRenderedPageBreak/>
        <w:drawing>
          <wp:inline distT="0" distB="0" distL="0" distR="0" wp14:anchorId="49F0E1A3" wp14:editId="5A211B6E">
            <wp:extent cx="3602990" cy="2326640"/>
            <wp:effectExtent l="0" t="0" r="381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2990" cy="2326640"/>
                    </a:xfrm>
                    <a:prstGeom prst="rect">
                      <a:avLst/>
                    </a:prstGeom>
                    <a:noFill/>
                    <a:ln>
                      <a:noFill/>
                    </a:ln>
                  </pic:spPr>
                </pic:pic>
              </a:graphicData>
            </a:graphic>
          </wp:inline>
        </w:drawing>
      </w:r>
    </w:p>
    <w:p w14:paraId="4AF2CAE4" w14:textId="77777777" w:rsidR="00400C00" w:rsidRPr="00400C00" w:rsidRDefault="00400C00" w:rsidP="00400C00">
      <w:pPr>
        <w:rPr>
          <w:rFonts w:asciiTheme="majorHAnsi" w:hAnsiTheme="majorHAnsi"/>
        </w:rPr>
      </w:pPr>
    </w:p>
    <w:p w14:paraId="466CBF13" w14:textId="77777777" w:rsidR="00400C00" w:rsidRPr="00400C00" w:rsidRDefault="00400C00" w:rsidP="00400C00">
      <w:pPr>
        <w:rPr>
          <w:rFonts w:asciiTheme="majorHAnsi" w:hAnsiTheme="majorHAnsi"/>
        </w:rPr>
      </w:pPr>
    </w:p>
    <w:p w14:paraId="54EB0E79" w14:textId="77777777" w:rsidR="00400C00" w:rsidRPr="00400C00" w:rsidRDefault="00400C00" w:rsidP="00400C00">
      <w:pPr>
        <w:rPr>
          <w:rFonts w:asciiTheme="majorHAnsi" w:hAnsiTheme="majorHAnsi"/>
        </w:rPr>
      </w:pPr>
      <w:r w:rsidRPr="00400C00">
        <w:rPr>
          <w:rFonts w:asciiTheme="majorHAnsi" w:hAnsiTheme="majorHAnsi"/>
        </w:rPr>
        <w:t>Efektivní SLR by mělo být provedeno následujícím postupem:</w:t>
      </w:r>
    </w:p>
    <w:p w14:paraId="3789C5A9" w14:textId="77777777" w:rsidR="00400C00" w:rsidRPr="0007402A" w:rsidRDefault="00400C00" w:rsidP="0007402A">
      <w:pPr>
        <w:pStyle w:val="ListParagraph"/>
        <w:numPr>
          <w:ilvl w:val="0"/>
          <w:numId w:val="36"/>
        </w:numPr>
        <w:spacing w:after="0" w:line="240" w:lineRule="auto"/>
        <w:rPr>
          <w:rFonts w:asciiTheme="majorHAnsi" w:hAnsiTheme="majorHAnsi"/>
        </w:rPr>
      </w:pPr>
      <w:r w:rsidRPr="0007402A">
        <w:rPr>
          <w:rFonts w:asciiTheme="majorHAnsi" w:hAnsiTheme="majorHAnsi"/>
        </w:rPr>
        <w:t>Definice cíle</w:t>
      </w:r>
    </w:p>
    <w:p w14:paraId="3B70B4A5" w14:textId="77777777" w:rsidR="00400C00" w:rsidRPr="0007402A" w:rsidRDefault="00400C00" w:rsidP="0007402A">
      <w:pPr>
        <w:pStyle w:val="ListParagraph"/>
        <w:numPr>
          <w:ilvl w:val="0"/>
          <w:numId w:val="36"/>
        </w:numPr>
        <w:spacing w:after="0" w:line="240" w:lineRule="auto"/>
        <w:rPr>
          <w:rFonts w:asciiTheme="majorHAnsi" w:hAnsiTheme="majorHAnsi"/>
        </w:rPr>
      </w:pPr>
      <w:r w:rsidRPr="0007402A">
        <w:rPr>
          <w:rFonts w:asciiTheme="majorHAnsi" w:hAnsiTheme="majorHAnsi"/>
        </w:rPr>
        <w:t>Definice a popis strategie vyhledávání</w:t>
      </w:r>
    </w:p>
    <w:p w14:paraId="6DCEE605" w14:textId="77777777" w:rsidR="00400C00" w:rsidRPr="0007402A" w:rsidRDefault="00400C00" w:rsidP="0007402A">
      <w:pPr>
        <w:pStyle w:val="ListParagraph"/>
        <w:numPr>
          <w:ilvl w:val="0"/>
          <w:numId w:val="36"/>
        </w:numPr>
        <w:spacing w:after="0" w:line="240" w:lineRule="auto"/>
        <w:rPr>
          <w:rFonts w:asciiTheme="majorHAnsi" w:hAnsiTheme="majorHAnsi"/>
        </w:rPr>
      </w:pPr>
      <w:r w:rsidRPr="0007402A">
        <w:rPr>
          <w:rFonts w:asciiTheme="majorHAnsi" w:hAnsiTheme="majorHAnsi"/>
        </w:rPr>
        <w:t>Jasná volba a popis způsobu vyhodnocení výsledků vyhledávání a jeho provedení</w:t>
      </w:r>
    </w:p>
    <w:p w14:paraId="355B43FB" w14:textId="77777777" w:rsidR="00400C00" w:rsidRPr="0007402A" w:rsidRDefault="00400C00" w:rsidP="0007402A">
      <w:pPr>
        <w:pStyle w:val="ListParagraph"/>
        <w:numPr>
          <w:ilvl w:val="0"/>
          <w:numId w:val="36"/>
        </w:numPr>
        <w:spacing w:after="0" w:line="240" w:lineRule="auto"/>
        <w:rPr>
          <w:rFonts w:asciiTheme="majorHAnsi" w:hAnsiTheme="majorHAnsi"/>
        </w:rPr>
      </w:pPr>
      <w:r w:rsidRPr="0007402A">
        <w:rPr>
          <w:rFonts w:asciiTheme="majorHAnsi" w:hAnsiTheme="majorHAnsi"/>
        </w:rPr>
        <w:t>Vyhodnocení a formulace závěrů SLR pro další použití</w:t>
      </w:r>
    </w:p>
    <w:p w14:paraId="094BB8E6" w14:textId="77777777" w:rsidR="00400C00" w:rsidRPr="00400C00" w:rsidRDefault="00400C00" w:rsidP="00400C00">
      <w:pPr>
        <w:rPr>
          <w:rFonts w:asciiTheme="majorHAnsi" w:hAnsiTheme="majorHAnsi"/>
        </w:rPr>
      </w:pPr>
    </w:p>
    <w:p w14:paraId="3900F252" w14:textId="77777777" w:rsidR="00400C00" w:rsidRPr="00400C00" w:rsidRDefault="00400C00" w:rsidP="00400C00">
      <w:pPr>
        <w:numPr>
          <w:ilvl w:val="0"/>
          <w:numId w:val="26"/>
        </w:numPr>
        <w:spacing w:after="0" w:line="240" w:lineRule="auto"/>
        <w:rPr>
          <w:rFonts w:asciiTheme="majorHAnsi" w:hAnsiTheme="majorHAnsi"/>
          <w:b/>
        </w:rPr>
      </w:pPr>
      <w:r w:rsidRPr="00400C00">
        <w:rPr>
          <w:rFonts w:asciiTheme="majorHAnsi" w:hAnsiTheme="majorHAnsi"/>
          <w:b/>
        </w:rPr>
        <w:t>Definice cíle</w:t>
      </w:r>
    </w:p>
    <w:p w14:paraId="745D186A" w14:textId="77777777" w:rsidR="00400C00" w:rsidRPr="00400C00" w:rsidRDefault="00400C00" w:rsidP="00400C00">
      <w:pPr>
        <w:rPr>
          <w:rFonts w:asciiTheme="majorHAnsi" w:hAnsiTheme="majorHAnsi"/>
        </w:rPr>
      </w:pPr>
    </w:p>
    <w:p w14:paraId="327E988A" w14:textId="77777777" w:rsidR="00400C00" w:rsidRPr="00400C00" w:rsidRDefault="00400C00" w:rsidP="00400C00">
      <w:pPr>
        <w:rPr>
          <w:rFonts w:asciiTheme="majorHAnsi" w:hAnsiTheme="majorHAnsi"/>
        </w:rPr>
      </w:pPr>
      <w:r w:rsidRPr="00400C00">
        <w:rPr>
          <w:rFonts w:asciiTheme="majorHAnsi" w:hAnsiTheme="majorHAnsi"/>
        </w:rPr>
        <w:t>Před začátkem vyhledávání je třeba určit cíl, rámci kterého bude SLR provedena a zodpovědět následující otázky:</w:t>
      </w:r>
    </w:p>
    <w:p w14:paraId="3DAEADB1" w14:textId="77777777" w:rsidR="00400C00" w:rsidRPr="00400C00" w:rsidRDefault="00400C00" w:rsidP="00400C00">
      <w:pPr>
        <w:numPr>
          <w:ilvl w:val="0"/>
          <w:numId w:val="27"/>
        </w:numPr>
        <w:spacing w:after="0" w:line="240" w:lineRule="auto"/>
        <w:rPr>
          <w:rFonts w:asciiTheme="majorHAnsi" w:hAnsiTheme="majorHAnsi"/>
        </w:rPr>
      </w:pPr>
      <w:r w:rsidRPr="00400C00">
        <w:rPr>
          <w:rFonts w:asciiTheme="majorHAnsi" w:hAnsiTheme="majorHAnsi"/>
        </w:rPr>
        <w:t>PICOS (</w:t>
      </w:r>
      <w:r w:rsidRPr="00400C00">
        <w:rPr>
          <w:rFonts w:asciiTheme="majorHAnsi" w:hAnsiTheme="majorHAnsi"/>
          <w:b/>
          <w:u w:val="single"/>
        </w:rPr>
        <w:t>P</w:t>
      </w:r>
      <w:r w:rsidRPr="00400C00">
        <w:rPr>
          <w:rFonts w:asciiTheme="majorHAnsi" w:hAnsiTheme="majorHAnsi"/>
        </w:rPr>
        <w:t xml:space="preserve">opulation, </w:t>
      </w:r>
      <w:r w:rsidRPr="00400C00">
        <w:rPr>
          <w:rFonts w:asciiTheme="majorHAnsi" w:hAnsiTheme="majorHAnsi"/>
          <w:b/>
          <w:u w:val="single"/>
        </w:rPr>
        <w:t>I</w:t>
      </w:r>
      <w:r w:rsidRPr="00400C00">
        <w:rPr>
          <w:rFonts w:asciiTheme="majorHAnsi" w:hAnsiTheme="majorHAnsi"/>
        </w:rPr>
        <w:t xml:space="preserve">nterventions and </w:t>
      </w:r>
      <w:r w:rsidRPr="00400C00">
        <w:rPr>
          <w:rFonts w:asciiTheme="majorHAnsi" w:hAnsiTheme="majorHAnsi"/>
          <w:b/>
          <w:u w:val="single"/>
        </w:rPr>
        <w:t>C</w:t>
      </w:r>
      <w:r w:rsidRPr="00400C00">
        <w:rPr>
          <w:rFonts w:asciiTheme="majorHAnsi" w:hAnsiTheme="majorHAnsi"/>
        </w:rPr>
        <w:t xml:space="preserve">omparators, </w:t>
      </w:r>
      <w:r w:rsidRPr="00400C00">
        <w:rPr>
          <w:rFonts w:asciiTheme="majorHAnsi" w:hAnsiTheme="majorHAnsi"/>
          <w:b/>
          <w:u w:val="single"/>
        </w:rPr>
        <w:t>O</w:t>
      </w:r>
      <w:r w:rsidRPr="00400C00">
        <w:rPr>
          <w:rFonts w:asciiTheme="majorHAnsi" w:hAnsiTheme="majorHAnsi"/>
        </w:rPr>
        <w:t xml:space="preserve">utcome measures, </w:t>
      </w:r>
      <w:r w:rsidRPr="00400C00">
        <w:rPr>
          <w:rFonts w:asciiTheme="majorHAnsi" w:hAnsiTheme="majorHAnsi"/>
          <w:b/>
          <w:u w:val="single"/>
        </w:rPr>
        <w:t>S</w:t>
      </w:r>
      <w:r w:rsidRPr="00400C00">
        <w:rPr>
          <w:rFonts w:asciiTheme="majorHAnsi" w:hAnsiTheme="majorHAnsi"/>
        </w:rPr>
        <w:t>tudy types)</w:t>
      </w:r>
    </w:p>
    <w:p w14:paraId="714A24AF" w14:textId="77777777" w:rsidR="00400C00" w:rsidRPr="00400C00" w:rsidRDefault="00400C00" w:rsidP="00400C00">
      <w:pPr>
        <w:numPr>
          <w:ilvl w:val="0"/>
          <w:numId w:val="27"/>
        </w:numPr>
        <w:spacing w:after="0" w:line="240" w:lineRule="auto"/>
        <w:rPr>
          <w:rFonts w:asciiTheme="majorHAnsi" w:hAnsiTheme="majorHAnsi"/>
        </w:rPr>
      </w:pPr>
      <w:r w:rsidRPr="00400C00">
        <w:rPr>
          <w:rFonts w:asciiTheme="majorHAnsi" w:hAnsiTheme="majorHAnsi"/>
        </w:rPr>
        <w:t>Vyřazovací kritéria pro vyhledané důkazy</w:t>
      </w:r>
    </w:p>
    <w:p w14:paraId="446E2F0E" w14:textId="77777777" w:rsidR="00400C00" w:rsidRPr="00400C00" w:rsidRDefault="00400C00" w:rsidP="00400C00">
      <w:pPr>
        <w:numPr>
          <w:ilvl w:val="0"/>
          <w:numId w:val="27"/>
        </w:numPr>
        <w:spacing w:after="0" w:line="240" w:lineRule="auto"/>
        <w:rPr>
          <w:rFonts w:asciiTheme="majorHAnsi" w:hAnsiTheme="majorHAnsi"/>
        </w:rPr>
      </w:pPr>
      <w:r w:rsidRPr="00400C00">
        <w:rPr>
          <w:rFonts w:asciiTheme="majorHAnsi" w:hAnsiTheme="majorHAnsi"/>
        </w:rPr>
        <w:t>K čemu budou výsledky SLR využity</w:t>
      </w:r>
    </w:p>
    <w:p w14:paraId="52101210" w14:textId="77777777" w:rsidR="00400C00" w:rsidRPr="00400C00" w:rsidRDefault="00400C00" w:rsidP="00400C00">
      <w:pPr>
        <w:rPr>
          <w:rFonts w:asciiTheme="majorHAnsi" w:hAnsiTheme="majorHAnsi"/>
        </w:rPr>
      </w:pPr>
    </w:p>
    <w:p w14:paraId="4D91D1D1" w14:textId="77777777" w:rsidR="00400C00" w:rsidRPr="00400C00" w:rsidRDefault="00400C00" w:rsidP="00400C00">
      <w:pPr>
        <w:numPr>
          <w:ilvl w:val="0"/>
          <w:numId w:val="26"/>
        </w:numPr>
        <w:spacing w:after="0" w:line="240" w:lineRule="auto"/>
        <w:rPr>
          <w:rFonts w:asciiTheme="majorHAnsi" w:hAnsiTheme="majorHAnsi"/>
          <w:b/>
        </w:rPr>
      </w:pPr>
      <w:r w:rsidRPr="00400C00">
        <w:rPr>
          <w:rFonts w:asciiTheme="majorHAnsi" w:hAnsiTheme="majorHAnsi"/>
          <w:b/>
        </w:rPr>
        <w:t>Definice a popis strategie vyhledávání</w:t>
      </w:r>
    </w:p>
    <w:p w14:paraId="6E2B2F3E" w14:textId="77777777" w:rsidR="00400C00" w:rsidRPr="00400C00" w:rsidRDefault="00400C00" w:rsidP="00400C00">
      <w:pPr>
        <w:rPr>
          <w:rFonts w:asciiTheme="majorHAnsi" w:hAnsiTheme="majorHAnsi"/>
        </w:rPr>
      </w:pPr>
    </w:p>
    <w:p w14:paraId="09C04215" w14:textId="77777777" w:rsidR="00400C00" w:rsidRPr="00400C00" w:rsidRDefault="00400C00" w:rsidP="00400C00">
      <w:pPr>
        <w:rPr>
          <w:rFonts w:asciiTheme="majorHAnsi" w:hAnsiTheme="majorHAnsi"/>
        </w:rPr>
      </w:pPr>
      <w:r w:rsidRPr="00400C00">
        <w:rPr>
          <w:rFonts w:asciiTheme="majorHAnsi" w:hAnsiTheme="majorHAnsi"/>
        </w:rPr>
        <w:t>V tomto kroku je třeba si zodpovědět otázky:</w:t>
      </w:r>
    </w:p>
    <w:p w14:paraId="2FB3CA1D" w14:textId="77777777" w:rsidR="00400C00" w:rsidRPr="00400C00" w:rsidRDefault="00400C00" w:rsidP="00400C00">
      <w:pPr>
        <w:numPr>
          <w:ilvl w:val="0"/>
          <w:numId w:val="28"/>
        </w:numPr>
        <w:spacing w:after="0" w:line="240" w:lineRule="auto"/>
        <w:rPr>
          <w:rFonts w:asciiTheme="majorHAnsi" w:hAnsiTheme="majorHAnsi"/>
        </w:rPr>
      </w:pPr>
      <w:r w:rsidRPr="00400C00">
        <w:rPr>
          <w:rFonts w:asciiTheme="majorHAnsi" w:hAnsiTheme="majorHAnsi"/>
        </w:rPr>
        <w:t>Kde vyhledávat (elektronické databáze, další zdroje)</w:t>
      </w:r>
    </w:p>
    <w:p w14:paraId="1F5D9400" w14:textId="77777777" w:rsidR="00400C00" w:rsidRPr="00400C00" w:rsidRDefault="00400C00" w:rsidP="00400C00">
      <w:pPr>
        <w:numPr>
          <w:ilvl w:val="0"/>
          <w:numId w:val="28"/>
        </w:numPr>
        <w:spacing w:after="0" w:line="240" w:lineRule="auto"/>
        <w:rPr>
          <w:rFonts w:asciiTheme="majorHAnsi" w:hAnsiTheme="majorHAnsi"/>
        </w:rPr>
      </w:pPr>
      <w:r w:rsidRPr="00400C00">
        <w:rPr>
          <w:rFonts w:asciiTheme="majorHAnsi" w:hAnsiTheme="majorHAnsi"/>
        </w:rPr>
        <w:t>Jak bude vyhledávání probíhat (co se bude hledat, jak se budou výsledky zaznamenávat, podle jakých parametrů bude vyhodnocována míra specifičnosti a porovnatelnosti)</w:t>
      </w:r>
    </w:p>
    <w:p w14:paraId="64039931" w14:textId="77777777" w:rsidR="00400C00" w:rsidRPr="00400C00" w:rsidRDefault="00400C00" w:rsidP="00400C00">
      <w:pPr>
        <w:rPr>
          <w:rFonts w:asciiTheme="majorHAnsi" w:hAnsiTheme="majorHAnsi"/>
        </w:rPr>
      </w:pPr>
    </w:p>
    <w:p w14:paraId="7918DACB" w14:textId="54EFCB55" w:rsidR="00400C00" w:rsidRPr="00400C00" w:rsidRDefault="00400C00" w:rsidP="00400C00">
      <w:pPr>
        <w:rPr>
          <w:rFonts w:asciiTheme="majorHAnsi" w:hAnsiTheme="majorHAnsi"/>
        </w:rPr>
      </w:pPr>
      <w:r w:rsidRPr="00400C00">
        <w:rPr>
          <w:rFonts w:asciiTheme="majorHAnsi" w:hAnsiTheme="majorHAnsi"/>
        </w:rPr>
        <w:t>Důležité je upozornit na skutečnost, že ne všechny důkazy jsou publikovány (např.</w:t>
      </w:r>
      <w:r w:rsidR="00797ABB">
        <w:rPr>
          <w:rFonts w:asciiTheme="majorHAnsi" w:hAnsiTheme="majorHAnsi"/>
        </w:rPr>
        <w:t xml:space="preserve"> </w:t>
      </w:r>
      <w:r w:rsidRPr="00400C00">
        <w:rPr>
          <w:rFonts w:asciiTheme="majorHAnsi" w:hAnsiTheme="majorHAnsi"/>
        </w:rPr>
        <w:t>data on file) a pokud jsou publikovány, nemusí být dohledatelné v indexovaných databázích (např.</w:t>
      </w:r>
      <w:r w:rsidR="00797ABB">
        <w:rPr>
          <w:rFonts w:asciiTheme="majorHAnsi" w:hAnsiTheme="majorHAnsi"/>
        </w:rPr>
        <w:t xml:space="preserve"> </w:t>
      </w:r>
      <w:r w:rsidRPr="00400C00">
        <w:rPr>
          <w:rFonts w:asciiTheme="majorHAnsi" w:hAnsiTheme="majorHAnsi"/>
        </w:rPr>
        <w:t>publikace v knihách a časopisech).  Mezi největší elektronické databáze patří:</w:t>
      </w:r>
    </w:p>
    <w:p w14:paraId="498E9076"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t>MEDLINE</w:t>
      </w:r>
    </w:p>
    <w:p w14:paraId="7D48DC4D"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t>EMBASE</w:t>
      </w:r>
    </w:p>
    <w:p w14:paraId="6F386337"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lastRenderedPageBreak/>
        <w:t>CENTRAL</w:t>
      </w:r>
    </w:p>
    <w:p w14:paraId="61432EE3"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t>BIOSIS</w:t>
      </w:r>
    </w:p>
    <w:p w14:paraId="696AA8AF"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t>AMED</w:t>
      </w:r>
    </w:p>
    <w:p w14:paraId="3BD622D5"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t>CINAHL</w:t>
      </w:r>
    </w:p>
    <w:p w14:paraId="21031661"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t>PsycINFO</w:t>
      </w:r>
    </w:p>
    <w:p w14:paraId="0E7E4848"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t>HuGE</w:t>
      </w:r>
    </w:p>
    <w:p w14:paraId="1DA798BF"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t>International Pharmaceutical Abstracts</w:t>
      </w:r>
    </w:p>
    <w:p w14:paraId="419B9FC5"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t>Occupational Therapy Journal of Research Index</w:t>
      </w:r>
    </w:p>
    <w:p w14:paraId="0A4D0DE1" w14:textId="77777777" w:rsidR="00400C00" w:rsidRPr="00400C00" w:rsidRDefault="00400C00" w:rsidP="00400C00">
      <w:pPr>
        <w:numPr>
          <w:ilvl w:val="0"/>
          <w:numId w:val="29"/>
        </w:numPr>
        <w:spacing w:after="0" w:line="240" w:lineRule="auto"/>
        <w:rPr>
          <w:rFonts w:asciiTheme="majorHAnsi" w:hAnsiTheme="majorHAnsi"/>
        </w:rPr>
      </w:pPr>
      <w:r w:rsidRPr="00400C00">
        <w:rPr>
          <w:rFonts w:asciiTheme="majorHAnsi" w:hAnsiTheme="majorHAnsi"/>
        </w:rPr>
        <w:t>Applied Social Science Index and Abstracts</w:t>
      </w:r>
    </w:p>
    <w:p w14:paraId="491A24E3" w14:textId="77777777" w:rsidR="00400C00" w:rsidRPr="00400C00" w:rsidRDefault="00400C00" w:rsidP="00400C00">
      <w:pPr>
        <w:rPr>
          <w:rFonts w:asciiTheme="majorHAnsi" w:hAnsiTheme="majorHAnsi"/>
        </w:rPr>
      </w:pPr>
    </w:p>
    <w:p w14:paraId="0A08F639" w14:textId="77777777" w:rsidR="00400C00" w:rsidRPr="00400C00" w:rsidRDefault="00400C00" w:rsidP="00400C00">
      <w:pPr>
        <w:rPr>
          <w:rFonts w:asciiTheme="majorHAnsi" w:hAnsiTheme="majorHAnsi"/>
        </w:rPr>
      </w:pPr>
    </w:p>
    <w:p w14:paraId="14DA9345" w14:textId="77777777" w:rsidR="00400C00" w:rsidRPr="00400C00" w:rsidRDefault="00400C00" w:rsidP="00400C00">
      <w:pPr>
        <w:numPr>
          <w:ilvl w:val="0"/>
          <w:numId w:val="26"/>
        </w:numPr>
        <w:spacing w:after="0" w:line="240" w:lineRule="auto"/>
        <w:rPr>
          <w:rFonts w:asciiTheme="majorHAnsi" w:hAnsiTheme="majorHAnsi"/>
          <w:b/>
        </w:rPr>
      </w:pPr>
      <w:r w:rsidRPr="00400C00">
        <w:rPr>
          <w:rFonts w:asciiTheme="majorHAnsi" w:hAnsiTheme="majorHAnsi"/>
          <w:b/>
        </w:rPr>
        <w:t>Jasná volba a popis způsobu vyhodnocení výsledků vyhledávání a jeho provedení</w:t>
      </w:r>
    </w:p>
    <w:p w14:paraId="20507823" w14:textId="77777777" w:rsidR="00400C00" w:rsidRPr="00400C00" w:rsidRDefault="00400C00" w:rsidP="00400C00">
      <w:pPr>
        <w:rPr>
          <w:rFonts w:asciiTheme="majorHAnsi" w:hAnsiTheme="majorHAnsi"/>
        </w:rPr>
      </w:pPr>
    </w:p>
    <w:p w14:paraId="4A1DA7C9" w14:textId="0E586528" w:rsidR="00400C00" w:rsidRPr="00400C00" w:rsidRDefault="00400C00" w:rsidP="00400C00">
      <w:pPr>
        <w:rPr>
          <w:rFonts w:asciiTheme="majorHAnsi" w:hAnsiTheme="majorHAnsi"/>
        </w:rPr>
      </w:pPr>
      <w:r w:rsidRPr="00400C00">
        <w:rPr>
          <w:rFonts w:asciiTheme="majorHAnsi" w:hAnsiTheme="majorHAnsi"/>
        </w:rPr>
        <w:t>Po provedení vlastního vyhledávání je třeba provést vytřídění důkazů. Prvním nástrojem je posouzení v kontextu otázek uvedených v bodě „1. Definice cíle“. Chybu ponechání nerelevantního zdroje resp. vyřazení  relevantního zdroje lze minimalizovat zapojením více nezávislých hodnotitelů a statistickým vyhodnocením zaznamenaných parametrů. Je třeba si dávat pozor na zařazení duplicitních podkladů (např.</w:t>
      </w:r>
      <w:r w:rsidR="00797ABB">
        <w:rPr>
          <w:rFonts w:asciiTheme="majorHAnsi" w:hAnsiTheme="majorHAnsi"/>
        </w:rPr>
        <w:t xml:space="preserve"> </w:t>
      </w:r>
      <w:r w:rsidRPr="00400C00">
        <w:rPr>
          <w:rFonts w:asciiTheme="majorHAnsi" w:hAnsiTheme="majorHAnsi"/>
        </w:rPr>
        <w:t>jedna studie publikovaná v různých časopisech). Důležité je, aby bylo zaznamenáno, jaké důkazy byly vyřazeny a proč a to z důvodu přezkoumatelnosti. Studiím, které prošly tříděním a budou zařazeny do vyhodnocení, je možné  přiřadit váhy. Kritéria pro přiřazení vah mohou být různá, přičemž se nabízí např. rozpětí CI (čím větší rozpětí, tím nižší váha)</w:t>
      </w:r>
    </w:p>
    <w:p w14:paraId="6EBAB863" w14:textId="77777777" w:rsidR="00400C00" w:rsidRPr="00400C00" w:rsidRDefault="00400C00" w:rsidP="00400C00">
      <w:pPr>
        <w:rPr>
          <w:rFonts w:asciiTheme="majorHAnsi" w:hAnsiTheme="majorHAnsi"/>
        </w:rPr>
      </w:pPr>
    </w:p>
    <w:p w14:paraId="0C409D29" w14:textId="77777777" w:rsidR="00400C00" w:rsidRPr="00400C00" w:rsidRDefault="00400C00" w:rsidP="00400C00">
      <w:pPr>
        <w:numPr>
          <w:ilvl w:val="0"/>
          <w:numId w:val="26"/>
        </w:numPr>
        <w:spacing w:after="0" w:line="240" w:lineRule="auto"/>
        <w:rPr>
          <w:rFonts w:asciiTheme="majorHAnsi" w:hAnsiTheme="majorHAnsi"/>
          <w:b/>
        </w:rPr>
      </w:pPr>
      <w:r w:rsidRPr="00400C00">
        <w:rPr>
          <w:rFonts w:asciiTheme="majorHAnsi" w:hAnsiTheme="majorHAnsi"/>
          <w:b/>
        </w:rPr>
        <w:t>Vyhodnocení a formulace závěrů SLR pro další použití</w:t>
      </w:r>
    </w:p>
    <w:p w14:paraId="25D9F6A7" w14:textId="77777777" w:rsidR="00400C00" w:rsidRPr="00400C00" w:rsidRDefault="00400C00" w:rsidP="00400C00">
      <w:pPr>
        <w:rPr>
          <w:rFonts w:asciiTheme="majorHAnsi" w:hAnsiTheme="majorHAnsi"/>
        </w:rPr>
      </w:pPr>
    </w:p>
    <w:p w14:paraId="35D82675" w14:textId="77777777" w:rsidR="00400C00" w:rsidRPr="00400C00" w:rsidRDefault="00400C00" w:rsidP="00400C00">
      <w:pPr>
        <w:rPr>
          <w:rFonts w:asciiTheme="majorHAnsi" w:hAnsiTheme="majorHAnsi"/>
        </w:rPr>
      </w:pPr>
      <w:r w:rsidRPr="00400C00">
        <w:rPr>
          <w:rFonts w:asciiTheme="majorHAnsi" w:hAnsiTheme="majorHAnsi"/>
        </w:rPr>
        <w:t>S ohledem na další využití výsledků SLR, v našem případě v rámci NMET, je třeba nejprve provést:</w:t>
      </w:r>
    </w:p>
    <w:p w14:paraId="40481C6A" w14:textId="77777777" w:rsidR="00400C00" w:rsidRPr="00400C00" w:rsidRDefault="00400C00" w:rsidP="00400C00">
      <w:pPr>
        <w:numPr>
          <w:ilvl w:val="0"/>
          <w:numId w:val="30"/>
        </w:numPr>
        <w:spacing w:after="0" w:line="240" w:lineRule="auto"/>
        <w:rPr>
          <w:rFonts w:asciiTheme="majorHAnsi" w:hAnsiTheme="majorHAnsi"/>
        </w:rPr>
      </w:pPr>
      <w:r w:rsidRPr="00400C00">
        <w:rPr>
          <w:rFonts w:asciiTheme="majorHAnsi" w:hAnsiTheme="majorHAnsi"/>
        </w:rPr>
        <w:t>Vyhodnocení vyhledaných a selektovaných důkazů na podkladě jasně daných kritérií (kvalitativní i kvantitativní)</w:t>
      </w:r>
    </w:p>
    <w:p w14:paraId="2976D40B" w14:textId="77777777" w:rsidR="00400C00" w:rsidRPr="00400C00" w:rsidRDefault="00400C00" w:rsidP="00400C00">
      <w:pPr>
        <w:numPr>
          <w:ilvl w:val="0"/>
          <w:numId w:val="30"/>
        </w:numPr>
        <w:spacing w:after="0" w:line="240" w:lineRule="auto"/>
        <w:rPr>
          <w:rFonts w:asciiTheme="majorHAnsi" w:hAnsiTheme="majorHAnsi"/>
        </w:rPr>
      </w:pPr>
      <w:r w:rsidRPr="00400C00">
        <w:rPr>
          <w:rFonts w:asciiTheme="majorHAnsi" w:hAnsiTheme="majorHAnsi"/>
        </w:rPr>
        <w:t>Vyhodnocení a komentáře k bias</w:t>
      </w:r>
    </w:p>
    <w:p w14:paraId="4EB1730D" w14:textId="77777777" w:rsidR="00400C00" w:rsidRPr="00400C00" w:rsidRDefault="00400C00" w:rsidP="00400C00">
      <w:pPr>
        <w:rPr>
          <w:rFonts w:asciiTheme="majorHAnsi" w:hAnsiTheme="majorHAnsi"/>
        </w:rPr>
      </w:pPr>
    </w:p>
    <w:p w14:paraId="08979763" w14:textId="77777777" w:rsidR="00400C00" w:rsidRPr="00400C00" w:rsidRDefault="00400C00" w:rsidP="00400C00">
      <w:pPr>
        <w:rPr>
          <w:rFonts w:asciiTheme="majorHAnsi" w:hAnsiTheme="majorHAnsi"/>
        </w:rPr>
      </w:pPr>
      <w:r w:rsidRPr="00400C00">
        <w:rPr>
          <w:rFonts w:asciiTheme="majorHAnsi" w:hAnsiTheme="majorHAnsi"/>
        </w:rPr>
        <w:t>Následně se provede:</w:t>
      </w:r>
    </w:p>
    <w:p w14:paraId="3A976664" w14:textId="77777777" w:rsidR="00400C00" w:rsidRPr="00400C00" w:rsidRDefault="00400C00" w:rsidP="00400C00">
      <w:pPr>
        <w:numPr>
          <w:ilvl w:val="0"/>
          <w:numId w:val="31"/>
        </w:numPr>
        <w:spacing w:after="0" w:line="240" w:lineRule="auto"/>
        <w:rPr>
          <w:rFonts w:asciiTheme="majorHAnsi" w:hAnsiTheme="majorHAnsi"/>
        </w:rPr>
      </w:pPr>
      <w:r w:rsidRPr="00400C00">
        <w:rPr>
          <w:rFonts w:asciiTheme="majorHAnsi" w:hAnsiTheme="majorHAnsi"/>
        </w:rPr>
        <w:t>Sumarizace a kvantifikace míry nejistoty</w:t>
      </w:r>
    </w:p>
    <w:p w14:paraId="5D3FD15C" w14:textId="77777777" w:rsidR="00400C00" w:rsidRPr="00400C00" w:rsidRDefault="00400C00" w:rsidP="00400C00">
      <w:pPr>
        <w:numPr>
          <w:ilvl w:val="0"/>
          <w:numId w:val="31"/>
        </w:numPr>
        <w:spacing w:after="0" w:line="240" w:lineRule="auto"/>
        <w:rPr>
          <w:rFonts w:asciiTheme="majorHAnsi" w:hAnsiTheme="majorHAnsi"/>
        </w:rPr>
      </w:pPr>
      <w:r w:rsidRPr="00400C00">
        <w:rPr>
          <w:rFonts w:asciiTheme="majorHAnsi" w:hAnsiTheme="majorHAnsi"/>
        </w:rPr>
        <w:t>Vyhodnocení, zda lze na podkladě vyhledaných důkazů provést NMET. Zejména se hodnotí zda lze studie kombinovat a míra heterogenity</w:t>
      </w:r>
    </w:p>
    <w:p w14:paraId="744F97C0" w14:textId="77777777" w:rsidR="00400C00" w:rsidRPr="00400C00" w:rsidRDefault="00400C00" w:rsidP="00400C00">
      <w:pPr>
        <w:rPr>
          <w:rFonts w:asciiTheme="majorHAnsi" w:hAnsiTheme="majorHAnsi"/>
        </w:rPr>
      </w:pPr>
    </w:p>
    <w:p w14:paraId="2C7D9F15" w14:textId="77777777" w:rsidR="00400C00" w:rsidRPr="00400C00" w:rsidRDefault="00400C00" w:rsidP="00400C00">
      <w:pPr>
        <w:rPr>
          <w:rFonts w:asciiTheme="majorHAnsi" w:hAnsiTheme="majorHAnsi"/>
        </w:rPr>
      </w:pPr>
      <w:r w:rsidRPr="00400C00">
        <w:rPr>
          <w:rFonts w:asciiTheme="majorHAnsi" w:hAnsiTheme="majorHAnsi"/>
        </w:rPr>
        <w:t>Výsledky vyhledání v rámci SLR je třeba přehledně zaznamenávat a následně vyhodnotit. K tomu lze využít řadu metodických konceptů používaných v zahraničí. Pokud bychom chtěli předvybrat/doporučit zpracovatelům SLR některé z nich, doporučujeme podrobně popsat:</w:t>
      </w:r>
    </w:p>
    <w:p w14:paraId="6A4CA5B1" w14:textId="77777777" w:rsidR="00400C00" w:rsidRPr="00400C00" w:rsidRDefault="00400C00" w:rsidP="00400C00">
      <w:pPr>
        <w:numPr>
          <w:ilvl w:val="0"/>
          <w:numId w:val="35"/>
        </w:numPr>
        <w:spacing w:after="0" w:line="240" w:lineRule="auto"/>
        <w:rPr>
          <w:rFonts w:asciiTheme="majorHAnsi" w:hAnsiTheme="majorHAnsi"/>
        </w:rPr>
      </w:pPr>
      <w:r w:rsidRPr="00400C00">
        <w:rPr>
          <w:rFonts w:asciiTheme="majorHAnsi" w:hAnsiTheme="majorHAnsi"/>
        </w:rPr>
        <w:t>Jadad Score for RCT</w:t>
      </w:r>
    </w:p>
    <w:p w14:paraId="197D78EE" w14:textId="77777777" w:rsidR="00400C00" w:rsidRPr="00400C00" w:rsidRDefault="00400C00" w:rsidP="00400C00">
      <w:pPr>
        <w:numPr>
          <w:ilvl w:val="0"/>
          <w:numId w:val="35"/>
        </w:numPr>
        <w:spacing w:after="0" w:line="240" w:lineRule="auto"/>
        <w:rPr>
          <w:rFonts w:asciiTheme="majorHAnsi" w:hAnsiTheme="majorHAnsi"/>
        </w:rPr>
      </w:pPr>
      <w:r w:rsidRPr="00400C00">
        <w:rPr>
          <w:rFonts w:asciiTheme="majorHAnsi" w:hAnsiTheme="majorHAnsi"/>
        </w:rPr>
        <w:t>GRADE</w:t>
      </w:r>
    </w:p>
    <w:p w14:paraId="7D94FF13" w14:textId="77777777" w:rsidR="00400C00" w:rsidRPr="00400C00" w:rsidRDefault="00400C00" w:rsidP="00400C00">
      <w:pPr>
        <w:numPr>
          <w:ilvl w:val="0"/>
          <w:numId w:val="35"/>
        </w:numPr>
        <w:spacing w:after="0" w:line="240" w:lineRule="auto"/>
        <w:rPr>
          <w:rFonts w:asciiTheme="majorHAnsi" w:hAnsiTheme="majorHAnsi"/>
        </w:rPr>
      </w:pPr>
      <w:r w:rsidRPr="00400C00">
        <w:rPr>
          <w:rFonts w:asciiTheme="majorHAnsi" w:hAnsiTheme="majorHAnsi"/>
        </w:rPr>
        <w:lastRenderedPageBreak/>
        <w:t>Cochrane (http://handbook.cochrane.org)</w:t>
      </w:r>
    </w:p>
    <w:p w14:paraId="580A7A15" w14:textId="77777777" w:rsidR="00400C00" w:rsidRPr="00400C00" w:rsidRDefault="00400C00" w:rsidP="00400C00">
      <w:pPr>
        <w:rPr>
          <w:rFonts w:asciiTheme="majorHAnsi" w:hAnsiTheme="majorHAnsi"/>
        </w:rPr>
      </w:pPr>
    </w:p>
    <w:p w14:paraId="24FA4CF9" w14:textId="77777777" w:rsidR="00400C00" w:rsidRPr="00400C00" w:rsidRDefault="00400C00" w:rsidP="00400C00">
      <w:pPr>
        <w:rPr>
          <w:rFonts w:asciiTheme="majorHAnsi" w:hAnsiTheme="majorHAnsi"/>
        </w:rPr>
      </w:pPr>
    </w:p>
    <w:p w14:paraId="3167C207" w14:textId="77777777" w:rsidR="00400C00" w:rsidRPr="00400C00" w:rsidRDefault="00400C00" w:rsidP="00400C00">
      <w:pPr>
        <w:rPr>
          <w:rFonts w:asciiTheme="majorHAnsi" w:hAnsiTheme="majorHAnsi"/>
        </w:rPr>
      </w:pPr>
      <w:r w:rsidRPr="00400C00">
        <w:rPr>
          <w:rFonts w:asciiTheme="majorHAnsi" w:hAnsiTheme="majorHAnsi"/>
        </w:rPr>
        <w:t>Pokud slouží SLR, jako podklad pro NMET, měly by být vyřazeny ze zdrojů metaanalýzy. Považujeme za vhodné pro účely přípravy doporučení ČFES rozpracovat a zhodnotit využitelnost projektu PROSPERO (</w:t>
      </w:r>
      <w:hyperlink r:id="rId25" w:history="1">
        <w:r w:rsidRPr="00400C00">
          <w:rPr>
            <w:rStyle w:val="Hyperlink"/>
            <w:rFonts w:asciiTheme="majorHAnsi" w:hAnsiTheme="majorHAnsi"/>
          </w:rPr>
          <w:t>http://www.crd.york.ac.uk/prospero/</w:t>
        </w:r>
      </w:hyperlink>
      <w:r w:rsidRPr="00400C00">
        <w:rPr>
          <w:rFonts w:asciiTheme="majorHAnsi" w:hAnsiTheme="majorHAnsi"/>
        </w:rPr>
        <w:t>) (bude dopracováno, pakliže se shodneme na konceptu).</w:t>
      </w:r>
    </w:p>
    <w:p w14:paraId="7F23F231" w14:textId="77777777" w:rsidR="001725A7" w:rsidRDefault="001725A7" w:rsidP="00400C00">
      <w:pPr>
        <w:rPr>
          <w:rFonts w:asciiTheme="majorHAnsi" w:hAnsiTheme="majorHAnsi"/>
          <w:b/>
          <w:sz w:val="24"/>
          <w:u w:val="single"/>
        </w:rPr>
      </w:pPr>
    </w:p>
    <w:p w14:paraId="475B6FD2" w14:textId="45BC3AE0" w:rsidR="00400C00" w:rsidRPr="00400C00" w:rsidRDefault="0007402A" w:rsidP="00400C00">
      <w:pPr>
        <w:rPr>
          <w:rFonts w:asciiTheme="majorHAnsi" w:hAnsiTheme="majorHAnsi"/>
          <w:b/>
          <w:sz w:val="24"/>
          <w:u w:val="single"/>
        </w:rPr>
      </w:pPr>
      <w:r>
        <w:rPr>
          <w:rFonts w:asciiTheme="majorHAnsi" w:hAnsiTheme="majorHAnsi"/>
          <w:b/>
          <w:sz w:val="24"/>
          <w:u w:val="single"/>
        </w:rPr>
        <w:t>Network Meta-Analysis</w:t>
      </w:r>
    </w:p>
    <w:p w14:paraId="66655C8C" w14:textId="77777777" w:rsidR="00400C00" w:rsidRPr="00400C00" w:rsidRDefault="00400C00" w:rsidP="00400C00">
      <w:pPr>
        <w:rPr>
          <w:rFonts w:asciiTheme="majorHAnsi" w:hAnsiTheme="majorHAnsi"/>
        </w:rPr>
      </w:pPr>
      <w:r w:rsidRPr="00400C00">
        <w:rPr>
          <w:rFonts w:asciiTheme="majorHAnsi" w:hAnsiTheme="majorHAnsi"/>
        </w:rPr>
        <w:t>V předchozí kapitole Systematic Literature Review (SLR) byl popsán proces vyhledání a zpracování důkazů klinické evidence, jako podkladu pro provedení Network Meta-analysis (NMET). Je však třeba upozornit, že NMET nemusí nutně vycházet ze SLR (</w:t>
      </w:r>
      <w:hyperlink r:id="rId26" w:history="1">
        <w:r w:rsidRPr="00400C00">
          <w:rPr>
            <w:rStyle w:val="Hyperlink"/>
            <w:rFonts w:asciiTheme="majorHAnsi" w:hAnsiTheme="majorHAnsi"/>
            <w:color w:val="auto"/>
          </w:rPr>
          <w:t>http://www.cochrane-net.org/openlearning/PDF/Module_3.pdf</w:t>
        </w:r>
      </w:hyperlink>
      <w:r w:rsidRPr="00400C00">
        <w:rPr>
          <w:rFonts w:asciiTheme="majorHAnsi" w:hAnsiTheme="majorHAnsi"/>
        </w:rPr>
        <w:t xml:space="preserve"> ) a může se jednat pouze o nepřímé srovnání vybraných klinických podkladů. Vzhledem k tomu, že tento materiál bude sloužit, jako podklad pro doporučení ČFES, je třeba nalézt shodu v tom, jak bude tato problematika vnímána ČFES. </w:t>
      </w:r>
    </w:p>
    <w:p w14:paraId="5D8720E0" w14:textId="77777777" w:rsidR="00400C00" w:rsidRPr="00400C00" w:rsidRDefault="00400C00" w:rsidP="00400C00">
      <w:pPr>
        <w:rPr>
          <w:rFonts w:asciiTheme="majorHAnsi" w:hAnsiTheme="majorHAnsi"/>
          <w:b/>
        </w:rPr>
      </w:pPr>
      <w:r w:rsidRPr="00400C00">
        <w:rPr>
          <w:rFonts w:asciiTheme="majorHAnsi" w:hAnsiTheme="majorHAnsi"/>
          <w:b/>
        </w:rPr>
        <w:t>Náš návrh je takový, aby součástí CER bylo vždy SLR a tam, kde nelze pro potřeby CER provést přímé srovnání, aby bylo na podkladě SLR provedeno nepřímé srovnání buď metodou AIC (Adjusted Indirect Comparison) nebo NMET (Network Meta-analysis). SLR i NMET může být převzato i z jiných zemí EU, ale mělo by být vždy náležitě okomentováno.</w:t>
      </w:r>
    </w:p>
    <w:p w14:paraId="71E21F43" w14:textId="77777777" w:rsidR="00400C00" w:rsidRPr="00400C00" w:rsidRDefault="00400C00" w:rsidP="00400C00">
      <w:pPr>
        <w:rPr>
          <w:rFonts w:asciiTheme="majorHAnsi" w:hAnsiTheme="majorHAnsi"/>
        </w:rPr>
      </w:pPr>
      <w:r w:rsidRPr="00400C00">
        <w:rPr>
          <w:rFonts w:asciiTheme="majorHAnsi" w:hAnsiTheme="majorHAnsi"/>
        </w:rPr>
        <w:t>Základem správně provedené NMET je splnění 3 předpokladů:</w:t>
      </w:r>
    </w:p>
    <w:p w14:paraId="0AD62F0D" w14:textId="77777777" w:rsidR="00400C00" w:rsidRPr="00400C00" w:rsidRDefault="00400C00" w:rsidP="00400C00">
      <w:pPr>
        <w:numPr>
          <w:ilvl w:val="0"/>
          <w:numId w:val="33"/>
        </w:numPr>
        <w:spacing w:after="0" w:line="240" w:lineRule="auto"/>
        <w:rPr>
          <w:rFonts w:asciiTheme="majorHAnsi" w:hAnsiTheme="majorHAnsi"/>
        </w:rPr>
      </w:pPr>
      <w:r w:rsidRPr="00400C00">
        <w:rPr>
          <w:rFonts w:asciiTheme="majorHAnsi" w:hAnsiTheme="majorHAnsi"/>
        </w:rPr>
        <w:t>HOMOGENITA (homogenity) – pro každé párové porovnání musí být studie klinicky a statisticky podobné</w:t>
      </w:r>
    </w:p>
    <w:p w14:paraId="55D7B3CD" w14:textId="702D6ADF" w:rsidR="00400C00" w:rsidRPr="00400C00" w:rsidRDefault="00400C00" w:rsidP="00400C00">
      <w:pPr>
        <w:numPr>
          <w:ilvl w:val="0"/>
          <w:numId w:val="33"/>
        </w:numPr>
        <w:spacing w:after="0" w:line="240" w:lineRule="auto"/>
        <w:rPr>
          <w:rFonts w:asciiTheme="majorHAnsi" w:hAnsiTheme="majorHAnsi"/>
        </w:rPr>
      </w:pPr>
      <w:r w:rsidRPr="00400C00">
        <w:rPr>
          <w:rFonts w:asciiTheme="majorHAnsi" w:hAnsiTheme="majorHAnsi"/>
        </w:rPr>
        <w:t>PODOBNOST (similarity) – studie by měly mít podobný design a je třeba posoudit, zda mohl být efekt v některých z nich ovlivněn (např.</w:t>
      </w:r>
      <w:r w:rsidR="00797ABB">
        <w:rPr>
          <w:rFonts w:asciiTheme="majorHAnsi" w:hAnsiTheme="majorHAnsi"/>
        </w:rPr>
        <w:t xml:space="preserve"> </w:t>
      </w:r>
      <w:r w:rsidRPr="00400C00">
        <w:rPr>
          <w:rFonts w:asciiTheme="majorHAnsi" w:hAnsiTheme="majorHAnsi"/>
        </w:rPr>
        <w:t>jinou intervencí, předléčeností atd.)</w:t>
      </w:r>
    </w:p>
    <w:p w14:paraId="4F19B483" w14:textId="77777777" w:rsidR="00400C00" w:rsidRPr="00400C00" w:rsidRDefault="00400C00" w:rsidP="00400C00">
      <w:pPr>
        <w:numPr>
          <w:ilvl w:val="0"/>
          <w:numId w:val="33"/>
        </w:numPr>
        <w:spacing w:after="0" w:line="240" w:lineRule="auto"/>
        <w:rPr>
          <w:rFonts w:asciiTheme="majorHAnsi" w:hAnsiTheme="majorHAnsi"/>
        </w:rPr>
      </w:pPr>
      <w:r w:rsidRPr="00400C00">
        <w:rPr>
          <w:rFonts w:asciiTheme="majorHAnsi" w:hAnsiTheme="majorHAnsi"/>
        </w:rPr>
        <w:t>KONZISTENTNOST (consistency) – výsledky přímých i nepřímých porovnání, by měly být v NMET konzistentní</w:t>
      </w:r>
    </w:p>
    <w:p w14:paraId="282ED4CA" w14:textId="77777777" w:rsidR="00400C00" w:rsidRPr="00400C00" w:rsidRDefault="00400C00" w:rsidP="00400C00">
      <w:pPr>
        <w:rPr>
          <w:rFonts w:asciiTheme="majorHAnsi" w:hAnsiTheme="majorHAnsi"/>
        </w:rPr>
      </w:pPr>
    </w:p>
    <w:p w14:paraId="27A62300" w14:textId="77777777" w:rsidR="00400C00" w:rsidRPr="00400C00" w:rsidRDefault="00400C00" w:rsidP="00400C00">
      <w:pPr>
        <w:rPr>
          <w:rFonts w:asciiTheme="majorHAnsi" w:hAnsiTheme="majorHAnsi"/>
        </w:rPr>
      </w:pPr>
      <w:r w:rsidRPr="00400C00">
        <w:rPr>
          <w:rFonts w:asciiTheme="majorHAnsi" w:hAnsiTheme="majorHAnsi"/>
        </w:rPr>
        <w:t xml:space="preserve">Pro správné provedení a vyhodnocení validity NMET se používají různé metodiky (Cochrane, UK NIHR,DARE atd.). Pro náš účel doporučujeme k rozpracovat dvě (bude dopracováno, pakliže se shodneme na konceptu): </w:t>
      </w:r>
    </w:p>
    <w:p w14:paraId="2B9973C5" w14:textId="77777777" w:rsidR="00400C00" w:rsidRPr="00400C00" w:rsidRDefault="00400C00" w:rsidP="00400C00">
      <w:pPr>
        <w:rPr>
          <w:rFonts w:asciiTheme="majorHAnsi" w:hAnsiTheme="majorHAnsi"/>
        </w:rPr>
      </w:pPr>
    </w:p>
    <w:p w14:paraId="38FB0BF5" w14:textId="77777777" w:rsidR="00400C00" w:rsidRPr="00400C00" w:rsidRDefault="00400C00" w:rsidP="00400C00">
      <w:pPr>
        <w:numPr>
          <w:ilvl w:val="0"/>
          <w:numId w:val="34"/>
        </w:numPr>
        <w:spacing w:after="0" w:line="240" w:lineRule="auto"/>
        <w:rPr>
          <w:rFonts w:asciiTheme="majorHAnsi" w:hAnsiTheme="majorHAnsi"/>
        </w:rPr>
      </w:pPr>
      <w:r w:rsidRPr="00400C00">
        <w:rPr>
          <w:rFonts w:asciiTheme="majorHAnsi" w:hAnsiTheme="majorHAnsi"/>
        </w:rPr>
        <w:t xml:space="preserve">ISPOR-AMCP-NCP questionnaire </w:t>
      </w:r>
      <w:r w:rsidRPr="00400C00">
        <w:rPr>
          <w:rFonts w:asciiTheme="majorHAnsi" w:hAnsiTheme="majorHAnsi"/>
          <w:bCs/>
        </w:rPr>
        <w:t>(</w:t>
      </w:r>
      <w:hyperlink r:id="rId27" w:history="1">
        <w:r w:rsidRPr="00400C00">
          <w:rPr>
            <w:rStyle w:val="Hyperlink"/>
            <w:rFonts w:asciiTheme="majorHAnsi" w:hAnsiTheme="majorHAnsi"/>
            <w:bCs/>
          </w:rPr>
          <w:t>http://www.ispor.org/TaskForces/documents/AssessingITC-NMA-Studies-TF-draft-Report.pdf</w:t>
        </w:r>
      </w:hyperlink>
      <w:r w:rsidRPr="00400C00">
        <w:rPr>
          <w:rFonts w:asciiTheme="majorHAnsi" w:hAnsiTheme="majorHAnsi"/>
          <w:bCs/>
        </w:rPr>
        <w:t>)</w:t>
      </w:r>
    </w:p>
    <w:p w14:paraId="1206831C" w14:textId="77777777" w:rsidR="00400C00" w:rsidRPr="00400C00" w:rsidRDefault="00400C00" w:rsidP="00400C00">
      <w:pPr>
        <w:rPr>
          <w:rFonts w:asciiTheme="majorHAnsi" w:hAnsiTheme="majorHAnsi"/>
        </w:rPr>
      </w:pPr>
    </w:p>
    <w:p w14:paraId="1EE07921" w14:textId="77777777" w:rsidR="00400C00" w:rsidRPr="00400C00" w:rsidRDefault="00400C00" w:rsidP="00400C00">
      <w:pPr>
        <w:numPr>
          <w:ilvl w:val="0"/>
          <w:numId w:val="34"/>
        </w:numPr>
        <w:spacing w:after="0" w:line="240" w:lineRule="auto"/>
        <w:rPr>
          <w:rFonts w:asciiTheme="majorHAnsi" w:hAnsiTheme="majorHAnsi"/>
        </w:rPr>
      </w:pPr>
      <w:r w:rsidRPr="00400C00">
        <w:rPr>
          <w:rFonts w:asciiTheme="majorHAnsi" w:hAnsiTheme="majorHAnsi"/>
        </w:rPr>
        <w:t>PRISMA (</w:t>
      </w:r>
      <w:hyperlink r:id="rId28" w:history="1">
        <w:r w:rsidRPr="00400C00">
          <w:rPr>
            <w:rStyle w:val="Hyperlink"/>
            <w:rFonts w:asciiTheme="majorHAnsi" w:hAnsiTheme="majorHAnsi"/>
          </w:rPr>
          <w:t>http://www.prisma-statement.org</w:t>
        </w:r>
      </w:hyperlink>
      <w:r w:rsidRPr="00400C00">
        <w:rPr>
          <w:rFonts w:asciiTheme="majorHAnsi" w:hAnsiTheme="majorHAnsi"/>
        </w:rPr>
        <w:t>)</w:t>
      </w:r>
    </w:p>
    <w:p w14:paraId="2493A40F" w14:textId="77777777" w:rsidR="00400C00" w:rsidRPr="00400C00" w:rsidRDefault="00400C00" w:rsidP="00400C00">
      <w:pPr>
        <w:rPr>
          <w:rFonts w:asciiTheme="majorHAnsi" w:hAnsiTheme="majorHAnsi"/>
        </w:rPr>
      </w:pPr>
    </w:p>
    <w:p w14:paraId="4F098859" w14:textId="77777777" w:rsidR="00400C00" w:rsidRPr="00400C00" w:rsidRDefault="00400C00" w:rsidP="00400C00">
      <w:pPr>
        <w:rPr>
          <w:rFonts w:asciiTheme="majorHAnsi" w:hAnsiTheme="majorHAnsi"/>
        </w:rPr>
      </w:pPr>
      <w:r w:rsidRPr="00400C00">
        <w:rPr>
          <w:rFonts w:asciiTheme="majorHAnsi" w:hAnsiTheme="majorHAnsi"/>
        </w:rPr>
        <w:lastRenderedPageBreak/>
        <w:t xml:space="preserve">Vlastní zpracování NMET  tvoří z velké části statistické zpracování a vyhodnocení dat. Pokud se shodneme na našem návrhu </w:t>
      </w:r>
      <w:r w:rsidRPr="00400C00">
        <w:rPr>
          <w:rFonts w:asciiTheme="majorHAnsi" w:hAnsiTheme="majorHAnsi"/>
          <w:b/>
        </w:rPr>
        <w:t>aby součástí CER bylo vždy SLR a tam, kde nelze pro potřeby CER provést přímé srovnání, aby bylo na podkladě SLR provedeno nepřímé srovnání buď metodou AIC nebo NMET</w:t>
      </w:r>
      <w:r w:rsidRPr="00400C00">
        <w:rPr>
          <w:rFonts w:asciiTheme="majorHAnsi" w:hAnsiTheme="majorHAnsi"/>
        </w:rPr>
        <w:t xml:space="preserve"> v rozpracujeme i metodiku provedení nepřímých srovnání.</w:t>
      </w:r>
    </w:p>
    <w:p w14:paraId="7FE0191A" w14:textId="77777777" w:rsidR="00400C00" w:rsidRDefault="00400C00" w:rsidP="00F77D82">
      <w:pPr>
        <w:rPr>
          <w:rFonts w:asciiTheme="majorHAnsi" w:hAnsiTheme="majorHAnsi"/>
          <w:b/>
          <w:u w:val="single"/>
        </w:rPr>
      </w:pPr>
    </w:p>
    <w:p w14:paraId="3829E77F" w14:textId="70A289D6" w:rsidR="00173B5F" w:rsidRPr="00173B5F" w:rsidRDefault="00173B5F" w:rsidP="00F77D82">
      <w:pPr>
        <w:rPr>
          <w:rFonts w:asciiTheme="majorHAnsi" w:hAnsiTheme="majorHAnsi"/>
          <w:b/>
          <w:u w:val="single"/>
        </w:rPr>
      </w:pPr>
      <w:r>
        <w:rPr>
          <w:rFonts w:asciiTheme="majorHAnsi" w:hAnsiTheme="majorHAnsi"/>
          <w:b/>
          <w:u w:val="single"/>
        </w:rPr>
        <w:t xml:space="preserve">3.4.  </w:t>
      </w:r>
      <w:r w:rsidRPr="00173B5F">
        <w:rPr>
          <w:rFonts w:asciiTheme="majorHAnsi" w:hAnsiTheme="majorHAnsi"/>
          <w:b/>
          <w:u w:val="single"/>
        </w:rPr>
        <w:t>Hodnocení benefitů (účinnost) a rizik (bezpečnost) v rámci CER</w:t>
      </w:r>
    </w:p>
    <w:p w14:paraId="268EC809" w14:textId="77777777" w:rsidR="00173B5F" w:rsidRDefault="00173B5F" w:rsidP="0092701F">
      <w:pPr>
        <w:rPr>
          <w:rFonts w:asciiTheme="majorHAnsi" w:hAnsiTheme="majorHAnsi"/>
          <w:b/>
          <w:sz w:val="24"/>
          <w:szCs w:val="24"/>
        </w:rPr>
      </w:pPr>
    </w:p>
    <w:p w14:paraId="267B1D64"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V rámci pracovní skupiny CER (Comparative Effectiveness Research) byly identifikovány a popsány jednotlivé aspekty CER. Konkrétně co je CER a čím se zabývá, dále jaké máme nástroje, respektive metody na syntézu evidence a dále jak bychom měli identifikovat/ vybírat srovnávanou intervenci (komparátor). Zároveň pracovní skupina CER došla k závěru, že výsledkem CER by měl být výsledek hodnocení ve smyslu porovnání benefitů (účinnost, QoL) a rizik (bezpečnost; nežádoucí účinky) na ordinální škále. Tato škála používá následující hodnocení intervence oproti srovnávané intervencí (komparátoru/ komparátorům):</w:t>
      </w:r>
    </w:p>
    <w:p w14:paraId="5C2342D8"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w:t>
      </w:r>
      <w:r w:rsidRPr="00173B5F">
        <w:rPr>
          <w:rFonts w:asciiTheme="majorHAnsi" w:hAnsiTheme="majorHAnsi" w:cs="Segoe UI"/>
        </w:rPr>
        <w:tab/>
        <w:t>Horší, než komparátor</w:t>
      </w:r>
    </w:p>
    <w:p w14:paraId="4FC8372D"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w:t>
      </w:r>
      <w:r w:rsidRPr="00173B5F">
        <w:rPr>
          <w:rFonts w:asciiTheme="majorHAnsi" w:hAnsiTheme="majorHAnsi" w:cs="Segoe UI"/>
        </w:rPr>
        <w:tab/>
        <w:t>Stejný jako komparátor</w:t>
      </w:r>
    </w:p>
    <w:p w14:paraId="4EF9A9F7"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w:t>
      </w:r>
      <w:r w:rsidRPr="00173B5F">
        <w:rPr>
          <w:rFonts w:asciiTheme="majorHAnsi" w:hAnsiTheme="majorHAnsi" w:cs="Segoe UI"/>
        </w:rPr>
        <w:tab/>
        <w:t>Lepší, než komparátor</w:t>
      </w:r>
    </w:p>
    <w:p w14:paraId="5AFA42CB"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w:t>
      </w:r>
      <w:r w:rsidRPr="00173B5F">
        <w:rPr>
          <w:rFonts w:asciiTheme="majorHAnsi" w:hAnsiTheme="majorHAnsi" w:cs="Segoe UI"/>
        </w:rPr>
        <w:tab/>
        <w:t xml:space="preserve">Výrazně lepší, než komparátor  </w:t>
      </w:r>
    </w:p>
    <w:p w14:paraId="4DE14C53"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 xml:space="preserve">Tento dokument si klade za cíl popsat možné způsoby kvantifikace jednotlivých přínosů (účinnosti a QoL) a rizik (bezpečnost) terapeutických režimů/ technologií a připravit tak nástroj, který je kompatibilní pro přímé využití v rámci pracovní skupiny VBP při ČFES (pro hodnocení </w:t>
      </w:r>
      <w:r w:rsidRPr="00173B5F">
        <w:rPr>
          <w:rFonts w:asciiTheme="majorHAnsi" w:hAnsiTheme="majorHAnsi" w:cs="Segoe UI"/>
          <w:b/>
        </w:rPr>
        <w:t>účinnosti a bezpečnosti</w:t>
      </w:r>
      <w:r w:rsidRPr="00173B5F">
        <w:rPr>
          <w:rFonts w:asciiTheme="majorHAnsi" w:hAnsiTheme="majorHAnsi" w:cs="Segoe UI"/>
        </w:rPr>
        <w:t>).</w:t>
      </w:r>
    </w:p>
    <w:p w14:paraId="5739D92D"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Obdobný způsob kvantifikace benefitů a rizik, respektive popsání přidané hodnoty technologie (added value) je v současné době již řadu let uplatňován v Německu při IQWiG (Institute for Quality and Efficiency in Health Care). Primárně je tak čerpáno z Obecných metod IQWiG (dokument General methods, version 4.1, November 28 2013).</w:t>
      </w:r>
    </w:p>
    <w:p w14:paraId="614D890F"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Pracovní skupina si je vědoma zásadních odlišnosti současného německého systému hodnocení zdravotních technologií (léků) s následným rozhodováním o úhradě, respektive samotným hrazením lékových technologií specifik českého systému. Pracovní skupina tak v každém případě nepředkládá tento dokument jakožto alternativu k současnému systému hodnocení lékových technologií v ČR.</w:t>
      </w:r>
    </w:p>
    <w:p w14:paraId="768FEBFF"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 xml:space="preserve">Současný český systém hodnocení a rozhodování o úhradách lékových technologií je založen na více kritériích (viz zákon o veřejném zdravotním pojištění §39 b), stejně tak k obdobnému </w:t>
      </w:r>
      <w:r w:rsidRPr="00173B5F">
        <w:rPr>
          <w:rFonts w:asciiTheme="majorHAnsi" w:hAnsiTheme="majorHAnsi" w:cs="Segoe UI"/>
        </w:rPr>
        <w:lastRenderedPageBreak/>
        <w:t>přístupu došla i pracovní skupina VBP při ČFES (přístup MCDA), kdy relevantních pro hodnocení a rozhodování o úhradách lékových technologií je více kritérií.</w:t>
      </w:r>
    </w:p>
    <w:p w14:paraId="0A5D96E4"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Jedním z kritérií je právě hodnocení účinnosti a bezpečnosti, pracovní skupina CER při ČFES se tak v této doméně hodnocení inspirovala právě německým IQWiG, který je s ohledem na hodnocení v této oblasti v evropském měřítku jistě uznávanou autoritou.</w:t>
      </w:r>
    </w:p>
    <w:p w14:paraId="4372690B" w14:textId="77777777" w:rsidR="00173B5F" w:rsidRPr="00173B5F" w:rsidRDefault="00173B5F" w:rsidP="00173B5F">
      <w:pPr>
        <w:spacing w:after="120" w:line="360" w:lineRule="auto"/>
        <w:jc w:val="both"/>
        <w:rPr>
          <w:rFonts w:asciiTheme="majorHAnsi" w:hAnsiTheme="majorHAnsi" w:cs="Segoe UI"/>
        </w:rPr>
      </w:pPr>
    </w:p>
    <w:p w14:paraId="17349806" w14:textId="77777777" w:rsidR="00173B5F" w:rsidRPr="00173B5F" w:rsidRDefault="00173B5F" w:rsidP="00173B5F">
      <w:pPr>
        <w:spacing w:after="120" w:line="360" w:lineRule="auto"/>
        <w:jc w:val="both"/>
        <w:rPr>
          <w:rFonts w:asciiTheme="majorHAnsi" w:hAnsiTheme="majorHAnsi" w:cs="Segoe UI"/>
          <w:b/>
          <w:sz w:val="24"/>
          <w:szCs w:val="24"/>
          <w:u w:val="single"/>
        </w:rPr>
      </w:pPr>
      <w:r w:rsidRPr="00173B5F">
        <w:rPr>
          <w:rFonts w:asciiTheme="majorHAnsi" w:hAnsiTheme="majorHAnsi" w:cs="Segoe UI"/>
          <w:b/>
          <w:sz w:val="24"/>
          <w:szCs w:val="24"/>
          <w:u w:val="single"/>
        </w:rPr>
        <w:t>Hierarchie outcomes - účinnost</w:t>
      </w:r>
    </w:p>
    <w:p w14:paraId="57B8ED87" w14:textId="77777777" w:rsidR="00173B5F" w:rsidRPr="00173B5F" w:rsidRDefault="00173B5F" w:rsidP="00173B5F">
      <w:pPr>
        <w:spacing w:line="360" w:lineRule="auto"/>
        <w:jc w:val="both"/>
        <w:rPr>
          <w:rFonts w:asciiTheme="majorHAnsi" w:hAnsiTheme="majorHAnsi" w:cs="Segoe UI"/>
        </w:rPr>
      </w:pPr>
      <w:r w:rsidRPr="00173B5F">
        <w:rPr>
          <w:rFonts w:asciiTheme="majorHAnsi" w:hAnsiTheme="majorHAnsi" w:cs="Segoe UI"/>
        </w:rPr>
        <w:t>V rámci terminologie a definování přidané hodnoty konkrétní technologie v porovnání s relevantním komparátorem/ komparátory je nutné se zamyslet/ zvážit, zda sledovaný a hodnocený outcomes představuje relevantní přínos (benefit), na základě kterého se můžeme rozhodnout, zda je technologie:</w:t>
      </w:r>
    </w:p>
    <w:p w14:paraId="6C7D3B97" w14:textId="77777777" w:rsidR="00173B5F" w:rsidRPr="00173B5F" w:rsidRDefault="00173B5F" w:rsidP="00173B5F">
      <w:pPr>
        <w:pStyle w:val="ListParagraph"/>
        <w:numPr>
          <w:ilvl w:val="0"/>
          <w:numId w:val="16"/>
        </w:numPr>
        <w:spacing w:line="360" w:lineRule="auto"/>
        <w:jc w:val="both"/>
        <w:rPr>
          <w:rFonts w:asciiTheme="majorHAnsi" w:hAnsiTheme="majorHAnsi" w:cs="Segoe UI"/>
        </w:rPr>
      </w:pPr>
      <w:r w:rsidRPr="00173B5F">
        <w:rPr>
          <w:rFonts w:asciiTheme="majorHAnsi" w:hAnsiTheme="majorHAnsi" w:cs="Segoe UI"/>
        </w:rPr>
        <w:t>Výrazně účinnější, poskytující významný benefit (klinický, QoL) v porovnání se stávající terapeutickou praxí</w:t>
      </w:r>
    </w:p>
    <w:p w14:paraId="1B64111C" w14:textId="77777777" w:rsidR="00173B5F" w:rsidRPr="00173B5F" w:rsidRDefault="00173B5F" w:rsidP="00173B5F">
      <w:pPr>
        <w:pStyle w:val="ListParagraph"/>
        <w:numPr>
          <w:ilvl w:val="0"/>
          <w:numId w:val="16"/>
        </w:numPr>
        <w:spacing w:line="360" w:lineRule="auto"/>
        <w:jc w:val="both"/>
        <w:rPr>
          <w:rFonts w:asciiTheme="majorHAnsi" w:hAnsiTheme="majorHAnsi" w:cs="Segoe UI"/>
        </w:rPr>
      </w:pPr>
      <w:r w:rsidRPr="00173B5F">
        <w:rPr>
          <w:rFonts w:asciiTheme="majorHAnsi" w:hAnsiTheme="majorHAnsi" w:cs="Segoe UI"/>
        </w:rPr>
        <w:t>účinnější, poskytující benefit (klinický, QoL) v porovnání se stávající terapeutickou praxí</w:t>
      </w:r>
    </w:p>
    <w:p w14:paraId="68F11F62" w14:textId="77777777" w:rsidR="00173B5F" w:rsidRPr="00173B5F" w:rsidRDefault="00173B5F" w:rsidP="00173B5F">
      <w:pPr>
        <w:pStyle w:val="ListParagraph"/>
        <w:numPr>
          <w:ilvl w:val="0"/>
          <w:numId w:val="16"/>
        </w:numPr>
        <w:spacing w:line="360" w:lineRule="auto"/>
        <w:jc w:val="both"/>
        <w:rPr>
          <w:rFonts w:asciiTheme="majorHAnsi" w:hAnsiTheme="majorHAnsi" w:cs="Segoe UI"/>
        </w:rPr>
      </w:pPr>
      <w:r w:rsidRPr="00173B5F">
        <w:rPr>
          <w:rFonts w:asciiTheme="majorHAnsi" w:hAnsiTheme="majorHAnsi" w:cs="Segoe UI"/>
        </w:rPr>
        <w:t>Srovnatelně účinný, nepřinášející žádný klinický/ QoL benefit v porovnání se stávající praxí</w:t>
      </w:r>
    </w:p>
    <w:p w14:paraId="054DE5FF" w14:textId="77777777" w:rsidR="00173B5F" w:rsidRPr="00173B5F" w:rsidRDefault="00173B5F" w:rsidP="00173B5F">
      <w:pPr>
        <w:pStyle w:val="ListParagraph"/>
        <w:numPr>
          <w:ilvl w:val="0"/>
          <w:numId w:val="16"/>
        </w:numPr>
        <w:spacing w:line="360" w:lineRule="auto"/>
        <w:jc w:val="both"/>
        <w:rPr>
          <w:rFonts w:asciiTheme="majorHAnsi" w:hAnsiTheme="majorHAnsi" w:cs="Segoe UI"/>
        </w:rPr>
      </w:pPr>
      <w:r w:rsidRPr="00173B5F">
        <w:rPr>
          <w:rFonts w:asciiTheme="majorHAnsi" w:hAnsiTheme="majorHAnsi" w:cs="Segoe UI"/>
        </w:rPr>
        <w:t>Signifikantně klinicky, nebo s ohledem na QoL horší než je stávající praxe.</w:t>
      </w:r>
    </w:p>
    <w:p w14:paraId="10F38B51" w14:textId="77777777" w:rsidR="00173B5F" w:rsidRPr="00173B5F" w:rsidRDefault="00173B5F" w:rsidP="00173B5F">
      <w:pPr>
        <w:rPr>
          <w:rFonts w:asciiTheme="majorHAnsi" w:hAnsiTheme="majorHAnsi" w:cs="Segoe UI"/>
        </w:rPr>
      </w:pPr>
      <w:r w:rsidRPr="00173B5F">
        <w:rPr>
          <w:rFonts w:asciiTheme="majorHAnsi" w:hAnsiTheme="majorHAnsi" w:cs="Segoe UI"/>
        </w:rPr>
        <w:br w:type="page"/>
      </w:r>
    </w:p>
    <w:p w14:paraId="6A3456F3" w14:textId="77777777" w:rsidR="00173B5F" w:rsidRPr="00173B5F" w:rsidRDefault="00173B5F" w:rsidP="00173B5F">
      <w:pPr>
        <w:spacing w:line="360" w:lineRule="auto"/>
        <w:jc w:val="both"/>
        <w:rPr>
          <w:rFonts w:asciiTheme="majorHAnsi" w:hAnsiTheme="majorHAnsi" w:cs="Segoe UI"/>
        </w:rPr>
      </w:pPr>
      <w:r w:rsidRPr="00173B5F">
        <w:rPr>
          <w:rFonts w:asciiTheme="majorHAnsi" w:hAnsiTheme="majorHAnsi" w:cs="Segoe UI"/>
        </w:rPr>
        <w:lastRenderedPageBreak/>
        <w:t>Hierarchie outcomes  je pak v obecném pojetí následující:</w:t>
      </w:r>
    </w:p>
    <w:p w14:paraId="74F88EC7" w14:textId="77777777" w:rsidR="00173B5F" w:rsidRPr="00173B5F" w:rsidRDefault="00173B5F" w:rsidP="00173B5F">
      <w:pPr>
        <w:pStyle w:val="ListParagraph"/>
        <w:numPr>
          <w:ilvl w:val="0"/>
          <w:numId w:val="16"/>
        </w:numPr>
        <w:spacing w:line="360" w:lineRule="auto"/>
        <w:jc w:val="both"/>
        <w:rPr>
          <w:rFonts w:asciiTheme="majorHAnsi" w:hAnsiTheme="majorHAnsi" w:cs="Segoe UI"/>
        </w:rPr>
      </w:pPr>
      <w:r w:rsidRPr="00173B5F">
        <w:rPr>
          <w:rFonts w:asciiTheme="majorHAnsi" w:hAnsiTheme="majorHAnsi" w:cs="Segoe UI"/>
        </w:rPr>
        <w:t>Prodloužení délky života</w:t>
      </w:r>
    </w:p>
    <w:p w14:paraId="7E8A54B6" w14:textId="77777777" w:rsidR="00173B5F" w:rsidRPr="00173B5F" w:rsidRDefault="00173B5F" w:rsidP="00173B5F">
      <w:pPr>
        <w:pStyle w:val="ListParagraph"/>
        <w:numPr>
          <w:ilvl w:val="0"/>
          <w:numId w:val="16"/>
        </w:numPr>
        <w:spacing w:line="360" w:lineRule="auto"/>
        <w:jc w:val="both"/>
        <w:rPr>
          <w:rFonts w:asciiTheme="majorHAnsi" w:hAnsiTheme="majorHAnsi" w:cs="Segoe UI"/>
        </w:rPr>
      </w:pPr>
      <w:r w:rsidRPr="00173B5F">
        <w:rPr>
          <w:rFonts w:asciiTheme="majorHAnsi" w:hAnsiTheme="majorHAnsi" w:cs="Segoe UI"/>
        </w:rPr>
        <w:t xml:space="preserve">Snížení mortality za časovou jednotku </w:t>
      </w:r>
    </w:p>
    <w:p w14:paraId="1BE0C407" w14:textId="77777777" w:rsidR="00173B5F" w:rsidRPr="00173B5F" w:rsidRDefault="00173B5F" w:rsidP="00173B5F">
      <w:pPr>
        <w:pStyle w:val="ListParagraph"/>
        <w:numPr>
          <w:ilvl w:val="0"/>
          <w:numId w:val="16"/>
        </w:numPr>
        <w:spacing w:line="360" w:lineRule="auto"/>
        <w:jc w:val="both"/>
        <w:rPr>
          <w:rFonts w:asciiTheme="majorHAnsi" w:hAnsiTheme="majorHAnsi" w:cs="Segoe UI"/>
        </w:rPr>
      </w:pPr>
      <w:r w:rsidRPr="00173B5F">
        <w:rPr>
          <w:rFonts w:asciiTheme="majorHAnsi" w:hAnsiTheme="majorHAnsi" w:cs="Segoe UI"/>
        </w:rPr>
        <w:t xml:space="preserve">Snížení počtu klinicky významných outcomes (mozková mrtvice, infarkt myokardu, hospitalizace, atd.) za časovou jednotku </w:t>
      </w:r>
    </w:p>
    <w:p w14:paraId="18CD0867" w14:textId="77777777" w:rsidR="00173B5F" w:rsidRPr="00173B5F" w:rsidRDefault="00173B5F" w:rsidP="00173B5F">
      <w:pPr>
        <w:pStyle w:val="ListParagraph"/>
        <w:numPr>
          <w:ilvl w:val="0"/>
          <w:numId w:val="16"/>
        </w:numPr>
        <w:spacing w:line="360" w:lineRule="auto"/>
        <w:jc w:val="both"/>
        <w:rPr>
          <w:rFonts w:asciiTheme="majorHAnsi" w:hAnsiTheme="majorHAnsi" w:cs="Segoe UI"/>
        </w:rPr>
      </w:pPr>
      <w:r w:rsidRPr="00173B5F">
        <w:rPr>
          <w:rFonts w:asciiTheme="majorHAnsi" w:hAnsiTheme="majorHAnsi" w:cs="Segoe UI"/>
        </w:rPr>
        <w:t>Kombinované outcomes za časovou jednotku (smrt z kardiovaskulárních příčin nebo infarkt myokardu nebo mozková mrtvice, hospitalizace nebo akutní ošetření pro exacerbaci onemocnění, apod.)</w:t>
      </w:r>
    </w:p>
    <w:p w14:paraId="0CC81251" w14:textId="210F2F93" w:rsidR="00173B5F" w:rsidRPr="00173B5F" w:rsidRDefault="00173B5F" w:rsidP="00173B5F">
      <w:pPr>
        <w:pStyle w:val="ListParagraph"/>
        <w:numPr>
          <w:ilvl w:val="0"/>
          <w:numId w:val="16"/>
        </w:numPr>
        <w:spacing w:line="360" w:lineRule="auto"/>
        <w:jc w:val="both"/>
        <w:rPr>
          <w:rFonts w:asciiTheme="majorHAnsi" w:hAnsiTheme="majorHAnsi" w:cs="Segoe UI"/>
        </w:rPr>
      </w:pPr>
      <w:r w:rsidRPr="00173B5F">
        <w:rPr>
          <w:rFonts w:asciiTheme="majorHAnsi" w:hAnsiTheme="majorHAnsi" w:cs="Segoe UI"/>
        </w:rPr>
        <w:t>Oddálení klinicky významného outcome (čas do progrese onemocnění, čas do hospitalizace, doba setrvání na léčbě, oddálení klinicky významných projevů onemocnění jako např. fraktura při osteopor</w:t>
      </w:r>
      <w:r w:rsidR="00797ABB">
        <w:rPr>
          <w:rFonts w:asciiTheme="majorHAnsi" w:hAnsiTheme="majorHAnsi" w:cs="Segoe UI"/>
        </w:rPr>
        <w:t>óz</w:t>
      </w:r>
      <w:r w:rsidRPr="00173B5F">
        <w:rPr>
          <w:rFonts w:asciiTheme="majorHAnsi" w:hAnsiTheme="majorHAnsi" w:cs="Segoe UI"/>
        </w:rPr>
        <w:t>e atd</w:t>
      </w:r>
      <w:r w:rsidR="00797ABB">
        <w:rPr>
          <w:rFonts w:asciiTheme="majorHAnsi" w:hAnsiTheme="majorHAnsi" w:cs="Segoe UI"/>
        </w:rPr>
        <w:t>.</w:t>
      </w:r>
    </w:p>
    <w:p w14:paraId="7273580F" w14:textId="77777777" w:rsidR="00173B5F" w:rsidRPr="00173B5F" w:rsidRDefault="00173B5F" w:rsidP="00173B5F">
      <w:pPr>
        <w:pStyle w:val="ListParagraph"/>
        <w:numPr>
          <w:ilvl w:val="0"/>
          <w:numId w:val="16"/>
        </w:numPr>
        <w:spacing w:line="360" w:lineRule="auto"/>
        <w:jc w:val="both"/>
        <w:rPr>
          <w:rFonts w:asciiTheme="majorHAnsi" w:hAnsiTheme="majorHAnsi" w:cs="Segoe UI"/>
        </w:rPr>
      </w:pPr>
      <w:r w:rsidRPr="00173B5F">
        <w:rPr>
          <w:rFonts w:asciiTheme="majorHAnsi" w:hAnsiTheme="majorHAnsi" w:cs="Segoe UI"/>
        </w:rPr>
        <w:t>Změna klinicky významného náhradního outcome (mmHg, FEV1, Hb1Ac, atd.) je benefit/ outcome vhodný u onemocnění, kde náhradní outcome je obecně přijatelný. Je však nutno jej posuzovat velmi opatrně a přihlížet k významu daného outcome pro mortalitu a morbiditu při daném onemocnění.</w:t>
      </w:r>
    </w:p>
    <w:p w14:paraId="4E061EDA" w14:textId="77777777" w:rsidR="00173B5F" w:rsidRPr="00173B5F" w:rsidRDefault="00173B5F" w:rsidP="00173B5F">
      <w:pPr>
        <w:spacing w:line="360" w:lineRule="auto"/>
        <w:ind w:left="360"/>
        <w:jc w:val="both"/>
        <w:rPr>
          <w:rFonts w:asciiTheme="majorHAnsi" w:hAnsiTheme="majorHAnsi" w:cs="Segoe UI"/>
        </w:rPr>
      </w:pPr>
      <w:r w:rsidRPr="00173B5F">
        <w:rPr>
          <w:rFonts w:asciiTheme="majorHAnsi" w:hAnsiTheme="majorHAnsi" w:cs="Segoe UI"/>
        </w:rPr>
        <w:t xml:space="preserve">Jednotlivé parametry jsou často pro nemoc specifické a přesné určení není zcela jednoznačně proveditelné. Zároveň do těchto klinických ukazatelů paralelně vstupuje vliv na </w:t>
      </w:r>
      <w:r w:rsidRPr="00173B5F">
        <w:rPr>
          <w:rFonts w:asciiTheme="majorHAnsi" w:hAnsiTheme="majorHAnsi" w:cs="Segoe UI"/>
          <w:b/>
        </w:rPr>
        <w:t>QoL (PRO)</w:t>
      </w:r>
      <w:r w:rsidRPr="00173B5F">
        <w:rPr>
          <w:rFonts w:asciiTheme="majorHAnsi" w:hAnsiTheme="majorHAnsi" w:cs="Segoe UI"/>
        </w:rPr>
        <w:t xml:space="preserve"> kdy tento ukazatel může vždy „pozvednout“ jistý parametr v rámci jeho místa v hierarchii výše. V rámci guidelines ČFES pro provádění FE analýz a Doporučených postupů SUKLu je pak v rámci hierarchie nejvýše rok života v perfektní kvalitě – QALY. </w:t>
      </w:r>
    </w:p>
    <w:p w14:paraId="5BDA5E25" w14:textId="77777777" w:rsidR="00173B5F" w:rsidRPr="00173B5F" w:rsidRDefault="00173B5F" w:rsidP="00173B5F">
      <w:pPr>
        <w:spacing w:line="360" w:lineRule="auto"/>
        <w:ind w:left="360"/>
        <w:jc w:val="both"/>
        <w:rPr>
          <w:rFonts w:asciiTheme="majorHAnsi" w:hAnsiTheme="majorHAnsi" w:cs="Segoe UI"/>
        </w:rPr>
      </w:pPr>
    </w:p>
    <w:p w14:paraId="635AA02F" w14:textId="77777777" w:rsidR="00173B5F" w:rsidRPr="00173B5F" w:rsidRDefault="00173B5F" w:rsidP="00173B5F">
      <w:pPr>
        <w:spacing w:line="360" w:lineRule="auto"/>
        <w:jc w:val="both"/>
        <w:rPr>
          <w:rFonts w:asciiTheme="majorHAnsi" w:hAnsiTheme="majorHAnsi" w:cs="Segoe UI"/>
          <w:b/>
          <w:sz w:val="24"/>
          <w:szCs w:val="24"/>
          <w:u w:val="single"/>
        </w:rPr>
      </w:pPr>
      <w:r w:rsidRPr="00173B5F">
        <w:rPr>
          <w:rFonts w:asciiTheme="majorHAnsi" w:hAnsiTheme="majorHAnsi" w:cs="Segoe UI"/>
          <w:b/>
          <w:sz w:val="24"/>
          <w:szCs w:val="24"/>
          <w:u w:val="single"/>
        </w:rPr>
        <w:t>Hierarchie rizik/ bezpečnost</w:t>
      </w:r>
    </w:p>
    <w:p w14:paraId="26C016BF" w14:textId="77777777" w:rsidR="00173B5F" w:rsidRPr="00173B5F" w:rsidRDefault="00173B5F" w:rsidP="00173B5F">
      <w:pPr>
        <w:spacing w:line="360" w:lineRule="auto"/>
        <w:jc w:val="both"/>
        <w:rPr>
          <w:rFonts w:asciiTheme="majorHAnsi" w:hAnsiTheme="majorHAnsi" w:cs="Segoe UI"/>
        </w:rPr>
      </w:pPr>
      <w:r w:rsidRPr="00173B5F">
        <w:rPr>
          <w:rFonts w:asciiTheme="majorHAnsi" w:hAnsiTheme="majorHAnsi" w:cs="Segoe UI"/>
        </w:rPr>
        <w:t>Zde se nabízí dělení rizik spojených s užíváním technologie v porovnání s jejím komparátorem dle závažnosti nežádoucích účinků (NÚ), a to dle WHO:</w:t>
      </w:r>
    </w:p>
    <w:p w14:paraId="323577E7" w14:textId="77777777" w:rsidR="00173B5F" w:rsidRPr="00173B5F" w:rsidRDefault="00173B5F" w:rsidP="00173B5F">
      <w:pPr>
        <w:spacing w:line="360" w:lineRule="auto"/>
        <w:jc w:val="both"/>
        <w:rPr>
          <w:rFonts w:asciiTheme="majorHAnsi" w:hAnsiTheme="majorHAnsi" w:cs="Segoe UI"/>
        </w:rPr>
      </w:pPr>
      <w:r w:rsidRPr="00173B5F">
        <w:rPr>
          <w:rFonts w:asciiTheme="majorHAnsi" w:hAnsiTheme="majorHAnsi" w:cs="Segoe UI"/>
          <w:b/>
        </w:rPr>
        <w:t>Grade 1, 2:</w:t>
      </w:r>
      <w:r w:rsidRPr="00173B5F">
        <w:rPr>
          <w:rFonts w:asciiTheme="majorHAnsi" w:hAnsiTheme="majorHAnsi" w:cs="Segoe UI"/>
        </w:rPr>
        <w:t xml:space="preserve">  Minimální, nebo klinicky nezávažné NÚ</w:t>
      </w:r>
    </w:p>
    <w:p w14:paraId="48459C94" w14:textId="77777777" w:rsidR="00173B5F" w:rsidRPr="00173B5F" w:rsidRDefault="00173B5F" w:rsidP="00173B5F">
      <w:pPr>
        <w:spacing w:line="360" w:lineRule="auto"/>
        <w:jc w:val="both"/>
        <w:rPr>
          <w:rFonts w:asciiTheme="majorHAnsi" w:hAnsiTheme="majorHAnsi" w:cs="Segoe UI"/>
        </w:rPr>
      </w:pPr>
      <w:r w:rsidRPr="00173B5F">
        <w:rPr>
          <w:rFonts w:asciiTheme="majorHAnsi" w:hAnsiTheme="majorHAnsi" w:cs="Segoe UI"/>
          <w:b/>
        </w:rPr>
        <w:t>Grade 3, 4</w:t>
      </w:r>
      <w:r w:rsidRPr="00173B5F">
        <w:rPr>
          <w:rFonts w:asciiTheme="majorHAnsi" w:hAnsiTheme="majorHAnsi" w:cs="Segoe UI"/>
        </w:rPr>
        <w:t>: Klinicky závažné NÚ, způsobující hospitalizaci, resp. ohrožující život pacienta</w:t>
      </w:r>
    </w:p>
    <w:p w14:paraId="3194B46E" w14:textId="77777777" w:rsidR="00173B5F" w:rsidRPr="00173B5F" w:rsidRDefault="00173B5F" w:rsidP="00173B5F">
      <w:pPr>
        <w:spacing w:line="360" w:lineRule="auto"/>
        <w:jc w:val="both"/>
        <w:rPr>
          <w:rFonts w:asciiTheme="majorHAnsi" w:hAnsiTheme="majorHAnsi" w:cs="Segoe UI"/>
        </w:rPr>
      </w:pPr>
      <w:r w:rsidRPr="00173B5F">
        <w:rPr>
          <w:rFonts w:asciiTheme="majorHAnsi" w:hAnsiTheme="majorHAnsi" w:cs="Segoe UI"/>
        </w:rPr>
        <w:t>Jednotlivé kombinace těchto NÚ (mix NÚ) pak determinuje technologii v porovnání s jejím komparátorem/ komparátory do jednotlivých škálových skupin:</w:t>
      </w:r>
    </w:p>
    <w:p w14:paraId="30DAB18F"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w:t>
      </w:r>
      <w:r w:rsidRPr="00173B5F">
        <w:rPr>
          <w:rFonts w:asciiTheme="majorHAnsi" w:hAnsiTheme="majorHAnsi" w:cs="Segoe UI"/>
        </w:rPr>
        <w:tab/>
        <w:t>Rizikovější/ méně bezpečný, než komparátor</w:t>
      </w:r>
    </w:p>
    <w:p w14:paraId="50DA8D5F"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w:t>
      </w:r>
      <w:r w:rsidRPr="00173B5F">
        <w:rPr>
          <w:rFonts w:asciiTheme="majorHAnsi" w:hAnsiTheme="majorHAnsi" w:cs="Segoe UI"/>
        </w:rPr>
        <w:tab/>
        <w:t>Stejně bezpečný jako komparátor</w:t>
      </w:r>
    </w:p>
    <w:p w14:paraId="6B6E47DB"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w:t>
      </w:r>
      <w:r w:rsidRPr="00173B5F">
        <w:rPr>
          <w:rFonts w:asciiTheme="majorHAnsi" w:hAnsiTheme="majorHAnsi" w:cs="Segoe UI"/>
        </w:rPr>
        <w:tab/>
        <w:t>Méně rizikový/ bezpečnější, než komparátor</w:t>
      </w:r>
    </w:p>
    <w:p w14:paraId="00C78E4E"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lastRenderedPageBreak/>
        <w:t>•</w:t>
      </w:r>
      <w:r w:rsidRPr="00173B5F">
        <w:rPr>
          <w:rFonts w:asciiTheme="majorHAnsi" w:hAnsiTheme="majorHAnsi" w:cs="Segoe UI"/>
        </w:rPr>
        <w:tab/>
        <w:t xml:space="preserve">Výrazně méně rizikový/ výrazně bezpečnější, než komparátor </w:t>
      </w:r>
    </w:p>
    <w:p w14:paraId="02AAEFA0"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Otázka tolerability, která následně může hrát zásadní roli pro adherenci a perzistenci na terapii, a tedy vlastně mít tak vztah k účinnosti (technologie „pomáhá“ pouze v případě, kdy je pacienty skutečně utilizována)</w:t>
      </w:r>
    </w:p>
    <w:p w14:paraId="72B783D2" w14:textId="77777777" w:rsidR="00173B5F" w:rsidRPr="00173B5F" w:rsidRDefault="00173B5F" w:rsidP="00173B5F">
      <w:pPr>
        <w:spacing w:after="120" w:line="360" w:lineRule="auto"/>
        <w:jc w:val="both"/>
        <w:rPr>
          <w:rFonts w:asciiTheme="majorHAnsi" w:hAnsiTheme="majorHAnsi" w:cs="Segoe UI"/>
        </w:rPr>
      </w:pPr>
    </w:p>
    <w:p w14:paraId="05490B8F" w14:textId="77777777" w:rsidR="00173B5F" w:rsidRPr="00173B5F" w:rsidRDefault="00173B5F" w:rsidP="00173B5F">
      <w:pPr>
        <w:spacing w:after="120" w:line="360" w:lineRule="auto"/>
        <w:jc w:val="both"/>
        <w:rPr>
          <w:rFonts w:asciiTheme="majorHAnsi" w:hAnsiTheme="majorHAnsi" w:cs="Segoe UI"/>
          <w:b/>
          <w:sz w:val="24"/>
          <w:szCs w:val="24"/>
          <w:u w:val="single"/>
        </w:rPr>
      </w:pPr>
      <w:r w:rsidRPr="00173B5F">
        <w:rPr>
          <w:rFonts w:asciiTheme="majorHAnsi" w:hAnsiTheme="majorHAnsi" w:cs="Segoe UI"/>
          <w:b/>
          <w:sz w:val="24"/>
          <w:szCs w:val="24"/>
          <w:u w:val="single"/>
        </w:rPr>
        <w:t>Způsob kvantifikace benefitu, rizika</w:t>
      </w:r>
    </w:p>
    <w:p w14:paraId="5E4D2645"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Kvantifikace benefitů, rizik by mělo vždy být provedeno relativně (CER/ REA – relative effectiveness assessement), tedy ve vztahu k předmětnému komparátoru/ komparátorům.</w:t>
      </w:r>
    </w:p>
    <w:p w14:paraId="50C1FD2E"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Toto relativní vyjádření pak představuje RR (relative risk), HR (Hazard ratio), případně OR (Odds ratio) jako alternativa k RR. V rámci vyjádření benefitu/ rizika u binárnárních outcomes (respondér/ non-respondér; výskyt konkrétního jevu/ příhody – ano/ ne) je však dobré mít na paměti úskalí, kterému může hodnotitel/ čtenář čelit v případě vyjádření účinnosti pomocí OR. V zásadě platí, že v případě, že se daný jev vyskytuje s pravděpodobností do 10%, není zásadní číselný rozdíl v definic relativního účinku/ rizika dle RR, nebo OR; pokud ovšem tento jev se vyskytuje častěji, je nutné brát v potaz v rámci definice relativního účinku to, že OR nadhodnocuje relativní účinek, resp. popisuje něco jiného – viz definice OR. Níže je pak tento fenomén RR vs. OR demonstrován na obrázku. OR by mělo být tedy v takovém případě převedeno na RR. Dále je níže pro úplnost poukázáno na způsob výpočtu jednotlivých epidemiologických ukazatelů.</w:t>
      </w:r>
    </w:p>
    <w:p w14:paraId="3D1ABEEE" w14:textId="77777777" w:rsidR="00173B5F" w:rsidRPr="00173B5F" w:rsidRDefault="00173B5F" w:rsidP="00173B5F">
      <w:pPr>
        <w:spacing w:after="120" w:line="360" w:lineRule="auto"/>
        <w:ind w:left="-142"/>
        <w:jc w:val="both"/>
        <w:rPr>
          <w:rFonts w:asciiTheme="majorHAnsi" w:hAnsiTheme="majorHAnsi" w:cs="Segoe UI"/>
        </w:rPr>
      </w:pPr>
      <w:r w:rsidRPr="00173B5F">
        <w:rPr>
          <w:rFonts w:asciiTheme="majorHAnsi" w:hAnsiTheme="majorHAnsi" w:cs="Segoe UI"/>
        </w:rPr>
        <w:t xml:space="preserve">  </w:t>
      </w:r>
      <w:r w:rsidRPr="00173B5F">
        <w:rPr>
          <w:rFonts w:asciiTheme="majorHAnsi" w:hAnsiTheme="majorHAnsi"/>
          <w:noProof/>
          <w:lang w:val="en-US"/>
        </w:rPr>
        <w:drawing>
          <wp:inline distT="0" distB="0" distL="0" distR="0" wp14:anchorId="0E60A05E" wp14:editId="2BF4F22B">
            <wp:extent cx="4607405" cy="3479800"/>
            <wp:effectExtent l="0" t="0" r="3175"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610147" cy="3481871"/>
                    </a:xfrm>
                    <a:prstGeom prst="rect">
                      <a:avLst/>
                    </a:prstGeom>
                  </pic:spPr>
                </pic:pic>
              </a:graphicData>
            </a:graphic>
          </wp:inline>
        </w:drawing>
      </w:r>
    </w:p>
    <w:p w14:paraId="461B758B"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noProof/>
          <w:lang w:val="en-US"/>
        </w:rPr>
        <w:lastRenderedPageBreak/>
        <w:drawing>
          <wp:inline distT="0" distB="0" distL="0" distR="0" wp14:anchorId="6EFB220D" wp14:editId="33564309">
            <wp:extent cx="3610636" cy="3211033"/>
            <wp:effectExtent l="0" t="0" r="889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626718" cy="3225335"/>
                    </a:xfrm>
                    <a:prstGeom prst="rect">
                      <a:avLst/>
                    </a:prstGeom>
                  </pic:spPr>
                </pic:pic>
              </a:graphicData>
            </a:graphic>
          </wp:inline>
        </w:drawing>
      </w:r>
    </w:p>
    <w:p w14:paraId="26794178" w14:textId="77777777" w:rsidR="00173B5F" w:rsidRPr="00173B5F" w:rsidRDefault="00173B5F" w:rsidP="00173B5F">
      <w:pPr>
        <w:spacing w:after="120" w:line="360" w:lineRule="auto"/>
        <w:jc w:val="both"/>
        <w:rPr>
          <w:rFonts w:asciiTheme="majorHAnsi" w:hAnsiTheme="majorHAnsi" w:cs="Segoe UI"/>
        </w:rPr>
      </w:pPr>
    </w:p>
    <w:p w14:paraId="14D1689F" w14:textId="77777777" w:rsidR="00173B5F" w:rsidRPr="00173B5F" w:rsidRDefault="00173B5F" w:rsidP="00173B5F">
      <w:pPr>
        <w:rPr>
          <w:rFonts w:asciiTheme="majorHAnsi" w:hAnsiTheme="majorHAnsi" w:cs="Segoe UI"/>
          <w:b/>
          <w:sz w:val="24"/>
          <w:szCs w:val="24"/>
          <w:u w:val="single"/>
        </w:rPr>
      </w:pPr>
      <w:r w:rsidRPr="00173B5F">
        <w:rPr>
          <w:rFonts w:asciiTheme="majorHAnsi" w:hAnsiTheme="majorHAnsi" w:cs="Segoe UI"/>
          <w:b/>
          <w:sz w:val="24"/>
          <w:szCs w:val="24"/>
          <w:u w:val="single"/>
        </w:rPr>
        <w:br w:type="page"/>
      </w:r>
    </w:p>
    <w:p w14:paraId="40A74EF0" w14:textId="77777777" w:rsidR="00173B5F" w:rsidRPr="00173B5F" w:rsidRDefault="00173B5F" w:rsidP="00173B5F">
      <w:pPr>
        <w:spacing w:after="120" w:line="360" w:lineRule="auto"/>
        <w:jc w:val="both"/>
        <w:rPr>
          <w:rFonts w:asciiTheme="majorHAnsi" w:hAnsiTheme="majorHAnsi" w:cs="Segoe UI"/>
          <w:b/>
          <w:sz w:val="24"/>
          <w:szCs w:val="24"/>
          <w:u w:val="single"/>
        </w:rPr>
      </w:pPr>
      <w:r w:rsidRPr="00173B5F">
        <w:rPr>
          <w:rFonts w:asciiTheme="majorHAnsi" w:hAnsiTheme="majorHAnsi" w:cs="Segoe UI"/>
          <w:b/>
          <w:sz w:val="24"/>
          <w:szCs w:val="24"/>
          <w:u w:val="single"/>
        </w:rPr>
        <w:lastRenderedPageBreak/>
        <w:t>DEFINICE, Kategorizace dle benefitů a rizik.</w:t>
      </w:r>
    </w:p>
    <w:p w14:paraId="6D8C2959"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 xml:space="preserve">Níže je pak prezentována tabulka (tabulka 2) dle IQWiG, kde je poukázáno na jednotlivé aspekty, které definují přidanou hodnotu technologie v porovnání s komparátorem/ komparátory s ohledem na příslušné outcomes. Přičemž IQWiG nerozděluje zvlášť účinnost, bezpečnost, ale definuje tzv. ANV (Arzneimittel-Nutzenbewertungsverordnung, AM-NutzenV (Regulation for Early </w:t>
      </w:r>
      <w:r w:rsidRPr="00173B5F">
        <w:rPr>
          <w:rFonts w:asciiTheme="majorHAnsi" w:hAnsiTheme="majorHAnsi" w:cs="Segoe UI"/>
          <w:b/>
        </w:rPr>
        <w:t>Benefit Assessment</w:t>
      </w:r>
      <w:r w:rsidRPr="00173B5F">
        <w:rPr>
          <w:rFonts w:asciiTheme="majorHAnsi" w:hAnsiTheme="majorHAnsi" w:cs="Segoe UI"/>
        </w:rPr>
        <w:t xml:space="preserve"> of New Pharmaceuticals). IQWiG dělí benefit na 6 kategorií:</w:t>
      </w:r>
    </w:p>
    <w:p w14:paraId="351B2535"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Sentence 1 of ANV, the dossier must present and consequently also assess “</w:t>
      </w:r>
      <w:r w:rsidRPr="00173B5F">
        <w:rPr>
          <w:rFonts w:asciiTheme="majorHAnsi" w:hAnsiTheme="majorHAnsi" w:cs="Segoe UI"/>
          <w:b/>
        </w:rPr>
        <w:t>the extent to which there is added benefit</w:t>
      </w:r>
      <w:r w:rsidRPr="00173B5F">
        <w:rPr>
          <w:rFonts w:asciiTheme="majorHAnsi" w:hAnsiTheme="majorHAnsi" w:cs="Segoe UI"/>
        </w:rPr>
        <w:t>”. For this purpose, §5 (7) ANV contains a classification into 6 categories:</w:t>
      </w:r>
    </w:p>
    <w:p w14:paraId="6D6F2F0E" w14:textId="77777777" w:rsidR="00173B5F" w:rsidRPr="00173B5F" w:rsidRDefault="00173B5F" w:rsidP="00173B5F">
      <w:pPr>
        <w:spacing w:after="120" w:line="360" w:lineRule="auto"/>
        <w:jc w:val="both"/>
        <w:rPr>
          <w:rFonts w:asciiTheme="majorHAnsi" w:hAnsiTheme="majorHAnsi" w:cs="Segoe UI"/>
          <w:i/>
        </w:rPr>
      </w:pPr>
      <w:r w:rsidRPr="00173B5F">
        <w:rPr>
          <w:rFonts w:asciiTheme="majorHAnsi" w:hAnsiTheme="majorHAnsi" w:cs="Segoe UI"/>
          <w:i/>
        </w:rPr>
        <w:t>(1) major added benefit</w:t>
      </w:r>
    </w:p>
    <w:p w14:paraId="5D6D0CE4" w14:textId="77777777" w:rsidR="00173B5F" w:rsidRPr="00173B5F" w:rsidRDefault="00173B5F" w:rsidP="00173B5F">
      <w:pPr>
        <w:spacing w:after="120" w:line="360" w:lineRule="auto"/>
        <w:jc w:val="both"/>
        <w:rPr>
          <w:rFonts w:asciiTheme="majorHAnsi" w:hAnsiTheme="majorHAnsi" w:cs="Segoe UI"/>
          <w:i/>
        </w:rPr>
      </w:pPr>
      <w:r w:rsidRPr="00173B5F">
        <w:rPr>
          <w:rFonts w:asciiTheme="majorHAnsi" w:hAnsiTheme="majorHAnsi" w:cs="Segoe UI"/>
          <w:i/>
        </w:rPr>
        <w:t>(2) considerable added benefit</w:t>
      </w:r>
    </w:p>
    <w:p w14:paraId="3B947ABE" w14:textId="77777777" w:rsidR="00173B5F" w:rsidRPr="00173B5F" w:rsidRDefault="00173B5F" w:rsidP="00173B5F">
      <w:pPr>
        <w:spacing w:after="120" w:line="360" w:lineRule="auto"/>
        <w:jc w:val="both"/>
        <w:rPr>
          <w:rFonts w:asciiTheme="majorHAnsi" w:hAnsiTheme="majorHAnsi" w:cs="Segoe UI"/>
          <w:i/>
        </w:rPr>
      </w:pPr>
      <w:r w:rsidRPr="00173B5F">
        <w:rPr>
          <w:rFonts w:asciiTheme="majorHAnsi" w:hAnsiTheme="majorHAnsi" w:cs="Segoe UI"/>
          <w:i/>
        </w:rPr>
        <w:t>(3) minor added benefit</w:t>
      </w:r>
    </w:p>
    <w:p w14:paraId="4A35A4CA"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(4) non-quantifiable added benefit</w:t>
      </w:r>
    </w:p>
    <w:p w14:paraId="06FFA417"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(5) no added benefit proven</w:t>
      </w:r>
    </w:p>
    <w:p w14:paraId="1846BD81"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(6) less benefit.</w:t>
      </w:r>
    </w:p>
    <w:p w14:paraId="6CE0CBB6"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t xml:space="preserve">For the </w:t>
      </w:r>
      <w:r w:rsidRPr="00173B5F">
        <w:rPr>
          <w:rFonts w:asciiTheme="majorHAnsi" w:hAnsiTheme="majorHAnsi" w:cs="Segoe UI"/>
          <w:i/>
        </w:rPr>
        <w:t>Categories 1 to 3</w:t>
      </w:r>
      <w:r w:rsidRPr="00173B5F">
        <w:rPr>
          <w:rFonts w:asciiTheme="majorHAnsi" w:hAnsiTheme="majorHAnsi" w:cs="Segoe UI"/>
        </w:rPr>
        <w:t>, §5 (7) ANV also provides a definition, as well as examples of criteria for particular consideration, as orientation for the presentation and assessment. These criteria describe qualitative characteristics (type of outcome) and also explicitly quantitative characteristics  (e.g. “major” vs. “moderate” increase in survival time).</w:t>
      </w:r>
    </w:p>
    <w:p w14:paraId="06F3FAC2" w14:textId="77777777" w:rsidR="00173B5F" w:rsidRPr="00173B5F" w:rsidRDefault="00173B5F" w:rsidP="00173B5F">
      <w:pPr>
        <w:spacing w:after="120" w:line="360" w:lineRule="auto"/>
        <w:jc w:val="both"/>
        <w:rPr>
          <w:rFonts w:asciiTheme="majorHAnsi" w:hAnsiTheme="majorHAnsi" w:cs="Segoe UI"/>
        </w:rPr>
      </w:pPr>
    </w:p>
    <w:p w14:paraId="58E79ED8" w14:textId="77777777" w:rsidR="00173B5F" w:rsidRPr="00173B5F" w:rsidRDefault="00173B5F" w:rsidP="00173B5F">
      <w:pPr>
        <w:spacing w:after="120" w:line="360" w:lineRule="auto"/>
        <w:jc w:val="both"/>
        <w:rPr>
          <w:rFonts w:asciiTheme="majorHAnsi" w:hAnsiTheme="majorHAnsi" w:cs="Segoe UI"/>
        </w:rPr>
      </w:pPr>
    </w:p>
    <w:p w14:paraId="48C5B16A" w14:textId="77777777" w:rsidR="00173B5F" w:rsidRPr="00173B5F" w:rsidRDefault="00173B5F" w:rsidP="00173B5F">
      <w:pPr>
        <w:rPr>
          <w:rFonts w:asciiTheme="majorHAnsi" w:hAnsiTheme="majorHAnsi" w:cs="Segoe UI"/>
        </w:rPr>
      </w:pPr>
      <w:r w:rsidRPr="00173B5F">
        <w:rPr>
          <w:rFonts w:asciiTheme="majorHAnsi" w:hAnsiTheme="majorHAnsi" w:cs="Segoe UI"/>
        </w:rPr>
        <w:br w:type="page"/>
      </w:r>
    </w:p>
    <w:p w14:paraId="63340D64" w14:textId="77777777" w:rsidR="00173B5F" w:rsidRPr="00173B5F" w:rsidRDefault="00173B5F" w:rsidP="00173B5F">
      <w:pPr>
        <w:spacing w:after="120" w:line="360" w:lineRule="auto"/>
        <w:jc w:val="both"/>
        <w:rPr>
          <w:rFonts w:asciiTheme="majorHAnsi" w:hAnsiTheme="majorHAnsi" w:cs="Segoe UI"/>
        </w:rPr>
      </w:pPr>
      <w:r w:rsidRPr="00173B5F">
        <w:rPr>
          <w:rFonts w:asciiTheme="majorHAnsi" w:hAnsiTheme="majorHAnsi" w:cs="Segoe UI"/>
        </w:rPr>
        <w:lastRenderedPageBreak/>
        <w:t>Pro potřeby našeho dokumentu navrhujeme připodobnit/ sjednotit terminologii dle IQWiG s dělením dle pracovní skupiny následovně (tabulka 1):</w:t>
      </w:r>
    </w:p>
    <w:p w14:paraId="5EF2A605" w14:textId="77777777" w:rsidR="00173B5F" w:rsidRPr="00173B5F" w:rsidRDefault="00173B5F" w:rsidP="00173B5F">
      <w:pPr>
        <w:spacing w:after="0" w:line="360" w:lineRule="auto"/>
        <w:jc w:val="both"/>
        <w:rPr>
          <w:rFonts w:asciiTheme="majorHAnsi" w:hAnsiTheme="majorHAnsi" w:cs="Segoe UI"/>
          <w:b/>
        </w:rPr>
      </w:pPr>
      <w:r w:rsidRPr="00173B5F">
        <w:rPr>
          <w:rFonts w:asciiTheme="majorHAnsi" w:hAnsiTheme="majorHAnsi" w:cs="Segoe UI"/>
          <w:b/>
        </w:rPr>
        <w:t xml:space="preserve">Tab1: </w:t>
      </w:r>
    </w:p>
    <w:tbl>
      <w:tblPr>
        <w:tblStyle w:val="TableGrid"/>
        <w:tblW w:w="0" w:type="auto"/>
        <w:tblLook w:val="04A0" w:firstRow="1" w:lastRow="0" w:firstColumn="1" w:lastColumn="0" w:noHBand="0" w:noVBand="1"/>
      </w:tblPr>
      <w:tblGrid>
        <w:gridCol w:w="4605"/>
        <w:gridCol w:w="4605"/>
      </w:tblGrid>
      <w:tr w:rsidR="00173B5F" w:rsidRPr="00173B5F" w14:paraId="23202D49" w14:textId="77777777" w:rsidTr="004C0485">
        <w:tc>
          <w:tcPr>
            <w:tcW w:w="4605" w:type="dxa"/>
          </w:tcPr>
          <w:p w14:paraId="1DD7EEDA" w14:textId="77777777" w:rsidR="00173B5F" w:rsidRPr="00173B5F" w:rsidRDefault="00173B5F" w:rsidP="004C0485">
            <w:pPr>
              <w:spacing w:line="276" w:lineRule="auto"/>
              <w:jc w:val="both"/>
              <w:rPr>
                <w:rFonts w:asciiTheme="majorHAnsi" w:hAnsiTheme="majorHAnsi" w:cs="Segoe UI"/>
                <w:b/>
              </w:rPr>
            </w:pPr>
            <w:r w:rsidRPr="00173B5F">
              <w:rPr>
                <w:rFonts w:asciiTheme="majorHAnsi" w:hAnsiTheme="majorHAnsi" w:cs="Segoe UI"/>
                <w:b/>
              </w:rPr>
              <w:t>Dle ČFES</w:t>
            </w:r>
          </w:p>
        </w:tc>
        <w:tc>
          <w:tcPr>
            <w:tcW w:w="4605" w:type="dxa"/>
          </w:tcPr>
          <w:p w14:paraId="7FF2DD49" w14:textId="77777777" w:rsidR="00173B5F" w:rsidRPr="00173B5F" w:rsidRDefault="00173B5F" w:rsidP="004C0485">
            <w:pPr>
              <w:spacing w:line="276" w:lineRule="auto"/>
              <w:jc w:val="both"/>
              <w:rPr>
                <w:rFonts w:asciiTheme="majorHAnsi" w:hAnsiTheme="majorHAnsi" w:cs="Segoe UI"/>
                <w:b/>
              </w:rPr>
            </w:pPr>
            <w:r w:rsidRPr="00173B5F">
              <w:rPr>
                <w:rFonts w:asciiTheme="majorHAnsi" w:hAnsiTheme="majorHAnsi" w:cs="Segoe UI"/>
                <w:b/>
              </w:rPr>
              <w:t>IQWiG</w:t>
            </w:r>
          </w:p>
        </w:tc>
      </w:tr>
      <w:tr w:rsidR="00173B5F" w:rsidRPr="00173B5F" w14:paraId="3D2C4C72" w14:textId="77777777" w:rsidTr="004C0485">
        <w:tc>
          <w:tcPr>
            <w:tcW w:w="4605" w:type="dxa"/>
          </w:tcPr>
          <w:p w14:paraId="2476156D" w14:textId="77777777" w:rsidR="00173B5F" w:rsidRPr="00173B5F" w:rsidRDefault="00173B5F" w:rsidP="004C0485">
            <w:pPr>
              <w:spacing w:line="276" w:lineRule="auto"/>
              <w:jc w:val="both"/>
              <w:rPr>
                <w:rFonts w:asciiTheme="majorHAnsi" w:hAnsiTheme="majorHAnsi" w:cs="Segoe UI"/>
              </w:rPr>
            </w:pPr>
            <w:r w:rsidRPr="00173B5F">
              <w:rPr>
                <w:rFonts w:asciiTheme="majorHAnsi" w:hAnsiTheme="majorHAnsi" w:cs="Segoe UI"/>
              </w:rPr>
              <w:t>Výrazně účinnější, poskytující významný benefit (klinický, QoL) v porovnání se stávající terapeutickou praxí</w:t>
            </w:r>
          </w:p>
        </w:tc>
        <w:tc>
          <w:tcPr>
            <w:tcW w:w="4605" w:type="dxa"/>
          </w:tcPr>
          <w:p w14:paraId="6120AA26" w14:textId="77777777" w:rsidR="00173B5F" w:rsidRPr="00173B5F" w:rsidRDefault="00173B5F" w:rsidP="004C0485">
            <w:pPr>
              <w:spacing w:line="276" w:lineRule="auto"/>
              <w:jc w:val="both"/>
              <w:rPr>
                <w:rFonts w:asciiTheme="majorHAnsi" w:hAnsiTheme="majorHAnsi" w:cs="Segoe UI"/>
              </w:rPr>
            </w:pPr>
            <w:r w:rsidRPr="00173B5F">
              <w:rPr>
                <w:rFonts w:asciiTheme="majorHAnsi" w:hAnsiTheme="majorHAnsi" w:cs="Segoe UI"/>
                <w:i/>
              </w:rPr>
              <w:t>(1) major added benefit</w:t>
            </w:r>
          </w:p>
        </w:tc>
      </w:tr>
      <w:tr w:rsidR="00173B5F" w:rsidRPr="00173B5F" w14:paraId="45A9AB0A" w14:textId="77777777" w:rsidTr="004C0485">
        <w:tc>
          <w:tcPr>
            <w:tcW w:w="4605" w:type="dxa"/>
          </w:tcPr>
          <w:p w14:paraId="677D86AE" w14:textId="77777777" w:rsidR="00173B5F" w:rsidRPr="00173B5F" w:rsidRDefault="00173B5F" w:rsidP="004C0485">
            <w:pPr>
              <w:spacing w:line="276" w:lineRule="auto"/>
              <w:jc w:val="both"/>
              <w:rPr>
                <w:rFonts w:asciiTheme="majorHAnsi" w:hAnsiTheme="majorHAnsi" w:cs="Segoe UI"/>
              </w:rPr>
            </w:pPr>
            <w:r w:rsidRPr="00173B5F">
              <w:rPr>
                <w:rFonts w:asciiTheme="majorHAnsi" w:hAnsiTheme="majorHAnsi" w:cs="Segoe UI"/>
              </w:rPr>
              <w:t>Klinicky účinnější, poskytující benefit (klinický, QoL) v porovnání se stávající terapeutickou praxí</w:t>
            </w:r>
          </w:p>
        </w:tc>
        <w:tc>
          <w:tcPr>
            <w:tcW w:w="4605" w:type="dxa"/>
          </w:tcPr>
          <w:p w14:paraId="55A4B62C" w14:textId="77777777" w:rsidR="00173B5F" w:rsidRPr="00173B5F" w:rsidRDefault="00173B5F" w:rsidP="004C0485">
            <w:pPr>
              <w:spacing w:line="276" w:lineRule="auto"/>
              <w:jc w:val="both"/>
              <w:rPr>
                <w:rFonts w:asciiTheme="majorHAnsi" w:hAnsiTheme="majorHAnsi" w:cs="Segoe UI"/>
                <w:i/>
              </w:rPr>
            </w:pPr>
            <w:r w:rsidRPr="00173B5F">
              <w:rPr>
                <w:rFonts w:asciiTheme="majorHAnsi" w:hAnsiTheme="majorHAnsi" w:cs="Segoe UI"/>
                <w:i/>
              </w:rPr>
              <w:t>(2) considerable added benefit</w:t>
            </w:r>
          </w:p>
          <w:p w14:paraId="2AEDA495" w14:textId="77777777" w:rsidR="00173B5F" w:rsidRPr="00173B5F" w:rsidRDefault="00173B5F" w:rsidP="004C0485">
            <w:pPr>
              <w:spacing w:line="276" w:lineRule="auto"/>
              <w:jc w:val="both"/>
              <w:rPr>
                <w:rFonts w:asciiTheme="majorHAnsi" w:hAnsiTheme="majorHAnsi" w:cs="Segoe UI"/>
                <w:i/>
              </w:rPr>
            </w:pPr>
            <w:r w:rsidRPr="00173B5F">
              <w:rPr>
                <w:rFonts w:asciiTheme="majorHAnsi" w:hAnsiTheme="majorHAnsi" w:cs="Segoe UI"/>
                <w:i/>
              </w:rPr>
              <w:t>(3) minor added benefit</w:t>
            </w:r>
          </w:p>
          <w:p w14:paraId="79CF9F7F" w14:textId="77777777" w:rsidR="00173B5F" w:rsidRPr="00173B5F" w:rsidRDefault="00173B5F" w:rsidP="004C0485">
            <w:pPr>
              <w:spacing w:after="200" w:line="276" w:lineRule="auto"/>
              <w:jc w:val="both"/>
              <w:rPr>
                <w:rFonts w:asciiTheme="majorHAnsi" w:hAnsiTheme="majorHAnsi" w:cs="Segoe UI"/>
                <w:i/>
              </w:rPr>
            </w:pPr>
            <w:r w:rsidRPr="00173B5F">
              <w:rPr>
                <w:rFonts w:asciiTheme="majorHAnsi" w:hAnsiTheme="majorHAnsi" w:cs="Segoe UI"/>
                <w:i/>
              </w:rPr>
              <w:t>(4) non-quantifiable added benefit*</w:t>
            </w:r>
          </w:p>
          <w:p w14:paraId="2D26D442" w14:textId="77777777" w:rsidR="00173B5F" w:rsidRPr="00173B5F" w:rsidRDefault="00173B5F" w:rsidP="004C0485">
            <w:pPr>
              <w:spacing w:line="276" w:lineRule="auto"/>
              <w:jc w:val="both"/>
              <w:rPr>
                <w:rFonts w:asciiTheme="majorHAnsi" w:hAnsiTheme="majorHAnsi" w:cs="Segoe UI"/>
                <w:i/>
              </w:rPr>
            </w:pPr>
          </w:p>
        </w:tc>
      </w:tr>
      <w:tr w:rsidR="00173B5F" w:rsidRPr="00173B5F" w14:paraId="2886E127" w14:textId="77777777" w:rsidTr="004C0485">
        <w:tc>
          <w:tcPr>
            <w:tcW w:w="4605" w:type="dxa"/>
          </w:tcPr>
          <w:p w14:paraId="191367EA" w14:textId="77777777" w:rsidR="00173B5F" w:rsidRPr="00173B5F" w:rsidRDefault="00173B5F" w:rsidP="004C0485">
            <w:pPr>
              <w:spacing w:line="276" w:lineRule="auto"/>
              <w:jc w:val="both"/>
              <w:rPr>
                <w:rFonts w:asciiTheme="majorHAnsi" w:hAnsiTheme="majorHAnsi" w:cs="Segoe UI"/>
              </w:rPr>
            </w:pPr>
            <w:r w:rsidRPr="00173B5F">
              <w:rPr>
                <w:rFonts w:asciiTheme="majorHAnsi" w:hAnsiTheme="majorHAnsi" w:cs="Segoe UI"/>
              </w:rPr>
              <w:t>Srovnatelně účinný, nepřinášející žádný klinický/ QoL benefit v porovnání se stávající praxí</w:t>
            </w:r>
          </w:p>
        </w:tc>
        <w:tc>
          <w:tcPr>
            <w:tcW w:w="4605" w:type="dxa"/>
          </w:tcPr>
          <w:p w14:paraId="18864836" w14:textId="77777777" w:rsidR="00173B5F" w:rsidRPr="00173B5F" w:rsidRDefault="00173B5F" w:rsidP="004C0485">
            <w:pPr>
              <w:spacing w:line="276" w:lineRule="auto"/>
              <w:jc w:val="both"/>
              <w:rPr>
                <w:rFonts w:asciiTheme="majorHAnsi" w:hAnsiTheme="majorHAnsi" w:cs="Segoe UI"/>
              </w:rPr>
            </w:pPr>
            <w:r w:rsidRPr="00173B5F">
              <w:rPr>
                <w:rFonts w:asciiTheme="majorHAnsi" w:hAnsiTheme="majorHAnsi" w:cs="Segoe UI"/>
              </w:rPr>
              <w:t>(</w:t>
            </w:r>
            <w:r w:rsidRPr="00173B5F">
              <w:rPr>
                <w:rFonts w:asciiTheme="majorHAnsi" w:hAnsiTheme="majorHAnsi" w:cs="Segoe UI"/>
                <w:i/>
              </w:rPr>
              <w:t>4) non-quantifiable added benefit*</w:t>
            </w:r>
          </w:p>
          <w:p w14:paraId="728D0F0A" w14:textId="77777777" w:rsidR="00173B5F" w:rsidRPr="00173B5F" w:rsidRDefault="00173B5F" w:rsidP="004C0485">
            <w:pPr>
              <w:spacing w:line="276" w:lineRule="auto"/>
              <w:jc w:val="both"/>
              <w:rPr>
                <w:rFonts w:asciiTheme="majorHAnsi" w:hAnsiTheme="majorHAnsi" w:cs="Segoe UI"/>
              </w:rPr>
            </w:pPr>
            <w:r w:rsidRPr="00173B5F">
              <w:rPr>
                <w:rFonts w:asciiTheme="majorHAnsi" w:hAnsiTheme="majorHAnsi" w:cs="Segoe UI"/>
              </w:rPr>
              <w:t>(5) no added benefit proven</w:t>
            </w:r>
          </w:p>
        </w:tc>
      </w:tr>
      <w:tr w:rsidR="00173B5F" w:rsidRPr="00173B5F" w14:paraId="20D5A3D2" w14:textId="77777777" w:rsidTr="004C0485">
        <w:tc>
          <w:tcPr>
            <w:tcW w:w="4605" w:type="dxa"/>
          </w:tcPr>
          <w:p w14:paraId="59786C02" w14:textId="77777777" w:rsidR="00173B5F" w:rsidRPr="00173B5F" w:rsidRDefault="00173B5F" w:rsidP="004C0485">
            <w:pPr>
              <w:spacing w:line="276" w:lineRule="auto"/>
              <w:jc w:val="both"/>
              <w:rPr>
                <w:rFonts w:asciiTheme="majorHAnsi" w:hAnsiTheme="majorHAnsi" w:cs="Segoe UI"/>
              </w:rPr>
            </w:pPr>
            <w:r w:rsidRPr="00173B5F">
              <w:rPr>
                <w:rFonts w:asciiTheme="majorHAnsi" w:hAnsiTheme="majorHAnsi" w:cs="Segoe UI"/>
              </w:rPr>
              <w:t>Signifikantně klinicky, nebo s ohledem na QoL horší než je stávající praxe.</w:t>
            </w:r>
          </w:p>
        </w:tc>
        <w:tc>
          <w:tcPr>
            <w:tcW w:w="4605" w:type="dxa"/>
          </w:tcPr>
          <w:p w14:paraId="7BD47691" w14:textId="77777777" w:rsidR="00173B5F" w:rsidRPr="00173B5F" w:rsidRDefault="00173B5F" w:rsidP="004C0485">
            <w:pPr>
              <w:spacing w:line="276" w:lineRule="auto"/>
              <w:jc w:val="both"/>
              <w:rPr>
                <w:rFonts w:asciiTheme="majorHAnsi" w:hAnsiTheme="majorHAnsi" w:cs="Segoe UI"/>
              </w:rPr>
            </w:pPr>
            <w:r w:rsidRPr="00173B5F">
              <w:rPr>
                <w:rFonts w:asciiTheme="majorHAnsi" w:hAnsiTheme="majorHAnsi" w:cs="Segoe UI"/>
              </w:rPr>
              <w:t>(6) less benefit.</w:t>
            </w:r>
          </w:p>
        </w:tc>
      </w:tr>
    </w:tbl>
    <w:p w14:paraId="3EFA6E9B"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cs="Segoe UI"/>
        </w:rPr>
        <w:t>* Interpretace tohoto aspektu je poměrně komplexní a vždy záleží na příslušném outcome a konkrétních výsledcích</w:t>
      </w:r>
    </w:p>
    <w:p w14:paraId="2871F671" w14:textId="77777777" w:rsidR="00173B5F" w:rsidRPr="00173B5F" w:rsidRDefault="00173B5F" w:rsidP="00173B5F">
      <w:pPr>
        <w:spacing w:after="0" w:line="360" w:lineRule="auto"/>
        <w:jc w:val="both"/>
        <w:rPr>
          <w:rFonts w:asciiTheme="majorHAnsi" w:hAnsiTheme="majorHAnsi" w:cs="Segoe UI"/>
          <w:b/>
        </w:rPr>
      </w:pPr>
    </w:p>
    <w:p w14:paraId="3708277D" w14:textId="77777777" w:rsidR="00173B5F" w:rsidRPr="00173B5F" w:rsidRDefault="00173B5F" w:rsidP="00173B5F">
      <w:pPr>
        <w:spacing w:after="0" w:line="360" w:lineRule="auto"/>
        <w:jc w:val="both"/>
        <w:rPr>
          <w:rFonts w:asciiTheme="majorHAnsi" w:hAnsiTheme="majorHAnsi" w:cs="Segoe UI"/>
          <w:b/>
        </w:rPr>
      </w:pPr>
      <w:r w:rsidRPr="00173B5F">
        <w:rPr>
          <w:rFonts w:asciiTheme="majorHAnsi" w:hAnsiTheme="majorHAnsi" w:cs="Segoe UI"/>
          <w:b/>
        </w:rPr>
        <w:t>Tab2:</w:t>
      </w:r>
    </w:p>
    <w:p w14:paraId="4EDFC977"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noProof/>
          <w:lang w:val="en-US"/>
        </w:rPr>
        <w:drawing>
          <wp:inline distT="0" distB="0" distL="0" distR="0" wp14:anchorId="0F5682EB" wp14:editId="04E93243">
            <wp:extent cx="5759450" cy="2972797"/>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59450" cy="2972797"/>
                    </a:xfrm>
                    <a:prstGeom prst="rect">
                      <a:avLst/>
                    </a:prstGeom>
                  </pic:spPr>
                </pic:pic>
              </a:graphicData>
            </a:graphic>
          </wp:inline>
        </w:drawing>
      </w:r>
    </w:p>
    <w:p w14:paraId="7A40B903"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cs="Segoe UI"/>
          <w:i/>
        </w:rPr>
        <w:t xml:space="preserve">Pozn: </w:t>
      </w:r>
      <w:r w:rsidRPr="00173B5F">
        <w:rPr>
          <w:rFonts w:asciiTheme="majorHAnsi" w:hAnsiTheme="majorHAnsi" w:cs="Segoe UI"/>
        </w:rPr>
        <w:t xml:space="preserve">Pro potřeby rozdělení účinnosti a bezpečnosti dle ČFES se termínu </w:t>
      </w:r>
      <w:r w:rsidRPr="00173B5F">
        <w:rPr>
          <w:rFonts w:asciiTheme="majorHAnsi" w:hAnsiTheme="majorHAnsi" w:cs="Segoe UI"/>
          <w:b/>
        </w:rPr>
        <w:t>benefit (účinnost)</w:t>
      </w:r>
      <w:r w:rsidRPr="00173B5F">
        <w:rPr>
          <w:rFonts w:asciiTheme="majorHAnsi" w:hAnsiTheme="majorHAnsi" w:cs="Segoe UI"/>
        </w:rPr>
        <w:t xml:space="preserve"> týkají sloupce all-cause mortality, symptoms (morbidity), HRQoL, </w:t>
      </w:r>
      <w:r w:rsidRPr="00173B5F">
        <w:rPr>
          <w:rFonts w:asciiTheme="majorHAnsi" w:hAnsiTheme="majorHAnsi" w:cs="Segoe UI"/>
          <w:b/>
        </w:rPr>
        <w:t xml:space="preserve">rizika (bezpečnosti) </w:t>
      </w:r>
      <w:r w:rsidRPr="00173B5F">
        <w:rPr>
          <w:rFonts w:asciiTheme="majorHAnsi" w:hAnsiTheme="majorHAnsi" w:cs="Segoe UI"/>
        </w:rPr>
        <w:t>se pak týkají sloupce Adverse events a HRQoL.</w:t>
      </w:r>
    </w:p>
    <w:p w14:paraId="20069FAD" w14:textId="77777777" w:rsidR="00173B5F" w:rsidRPr="00173B5F" w:rsidRDefault="00173B5F" w:rsidP="00173B5F">
      <w:pPr>
        <w:spacing w:after="0" w:line="360" w:lineRule="auto"/>
        <w:jc w:val="both"/>
        <w:rPr>
          <w:rFonts w:asciiTheme="majorHAnsi" w:hAnsiTheme="majorHAnsi" w:cs="Segoe UI"/>
        </w:rPr>
      </w:pPr>
    </w:p>
    <w:p w14:paraId="392885CB"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cs="Segoe UI"/>
        </w:rPr>
        <w:t>V rámci dokumentu bylo již poukázáno na hierarchii jednotlivých outcomes, dále pak na způsob kvantifikace benefitů/ rizik (relativní vyjádření).</w:t>
      </w:r>
    </w:p>
    <w:p w14:paraId="62A17D55"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cs="Segoe UI"/>
        </w:rPr>
        <w:lastRenderedPageBreak/>
        <w:t>Níže (tab 3) je pak prezentovaná metodika IQWiG pro kvantifikaci jednotlivých outcomes tak, aby bylo možné technologii označit za „výrazně účinnější“, „účinnější“.</w:t>
      </w:r>
    </w:p>
    <w:p w14:paraId="685215BF" w14:textId="77777777" w:rsidR="00173B5F" w:rsidRPr="00173B5F" w:rsidRDefault="00173B5F" w:rsidP="00173B5F">
      <w:pPr>
        <w:spacing w:after="0" w:line="360" w:lineRule="auto"/>
        <w:jc w:val="both"/>
        <w:rPr>
          <w:rFonts w:asciiTheme="majorHAnsi" w:hAnsiTheme="majorHAnsi" w:cs="Segoe UI"/>
        </w:rPr>
      </w:pPr>
    </w:p>
    <w:p w14:paraId="3019217F" w14:textId="77777777" w:rsidR="00173B5F" w:rsidRPr="00173B5F" w:rsidRDefault="00173B5F" w:rsidP="00173B5F">
      <w:pPr>
        <w:spacing w:after="0" w:line="360" w:lineRule="auto"/>
        <w:jc w:val="both"/>
        <w:rPr>
          <w:rFonts w:asciiTheme="majorHAnsi" w:hAnsiTheme="majorHAnsi" w:cs="Segoe UI"/>
          <w:b/>
        </w:rPr>
      </w:pPr>
      <w:r w:rsidRPr="00173B5F">
        <w:rPr>
          <w:rFonts w:asciiTheme="majorHAnsi" w:hAnsiTheme="majorHAnsi" w:cs="Segoe UI"/>
          <w:b/>
        </w:rPr>
        <w:t>Tab. 3</w:t>
      </w:r>
    </w:p>
    <w:p w14:paraId="4F26C832"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noProof/>
          <w:lang w:val="en-US"/>
        </w:rPr>
        <w:drawing>
          <wp:inline distT="0" distB="0" distL="0" distR="0" wp14:anchorId="0139F35C" wp14:editId="2739BAAF">
            <wp:extent cx="5173133" cy="2510119"/>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75035" cy="2511042"/>
                    </a:xfrm>
                    <a:prstGeom prst="rect">
                      <a:avLst/>
                    </a:prstGeom>
                  </pic:spPr>
                </pic:pic>
              </a:graphicData>
            </a:graphic>
          </wp:inline>
        </w:drawing>
      </w:r>
    </w:p>
    <w:p w14:paraId="1DDB15CF" w14:textId="77777777" w:rsidR="00173B5F" w:rsidRPr="00173B5F" w:rsidRDefault="00173B5F" w:rsidP="00173B5F">
      <w:pPr>
        <w:spacing w:after="0" w:line="360" w:lineRule="auto"/>
        <w:jc w:val="both"/>
        <w:rPr>
          <w:rFonts w:asciiTheme="majorHAnsi" w:hAnsiTheme="majorHAnsi" w:cs="Segoe UI"/>
        </w:rPr>
      </w:pPr>
    </w:p>
    <w:p w14:paraId="78E07266"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cs="Segoe UI"/>
        </w:rPr>
        <w:t>Nutno ovšem poukázat na skutečnost, že jednotlivé parametry RR (HR)  dle IQWiG (menší než 1,0 – značící na vyšší účinek/ bezpečnost než komparátor) představují nikoli průměrné hodnoty těchto ukazatelů, ale tyto hodnoty představují horní hranici 95% CI.</w:t>
      </w:r>
    </w:p>
    <w:p w14:paraId="5591A8D7"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cs="Segoe UI"/>
        </w:rPr>
        <w:t xml:space="preserve">Tedy </w:t>
      </w:r>
      <w:r w:rsidRPr="00173B5F">
        <w:rPr>
          <w:rFonts w:asciiTheme="majorHAnsi" w:hAnsiTheme="majorHAnsi" w:cs="Segoe UI"/>
          <w:b/>
          <w:i/>
        </w:rPr>
        <w:t>například</w:t>
      </w:r>
      <w:r w:rsidRPr="00173B5F">
        <w:rPr>
          <w:rFonts w:asciiTheme="majorHAnsi" w:hAnsiTheme="majorHAnsi" w:cs="Segoe UI"/>
        </w:rPr>
        <w:t>, pokud celkové úmrtí u léku A v porovnání s relevantním komparátorem (BSC) představuje HR = 0,71 (95% CI 0,6 – 0,9), pak tento efekt u této populace je označován jako „Considerable“, nikoli „Major“ a pro naše účely pak „účinnější“.</w:t>
      </w:r>
    </w:p>
    <w:p w14:paraId="50072EA0"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cs="Segoe UI"/>
        </w:rPr>
        <w:t>V případě, že by byla sub-populace, kde je lék A účinnější než u celkové populace; konkrétně by celková mortalita byla; HR = 0,6 (95% CI 0,3 – 0,7), pak by tento efekt byl označen jakožto „major“ – „výrazně účinnější“.</w:t>
      </w:r>
    </w:p>
    <w:p w14:paraId="3E9486E4"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cs="Segoe UI"/>
        </w:rPr>
        <w:t>Tento přístup, tvrdé akceptace 95% CI explicitně hendikepuje a v některých případech znemožňuje použití nepřímých srovnání – dle NMA, kdy tímto způsobem jsou 95% CI často rozšiřován. Na druhou stranu výrazně vyšší účinnost by měla být rezervována zejména pro nové technologie zřetelného významu, tedy jejichž klinický efekt je velký a byl prokázán na podkladě robustní klinické evidence.</w:t>
      </w:r>
    </w:p>
    <w:p w14:paraId="6307BFB4" w14:textId="77777777" w:rsidR="00173B5F" w:rsidRPr="00173B5F" w:rsidRDefault="00173B5F" w:rsidP="00173B5F">
      <w:pPr>
        <w:spacing w:after="0" w:line="360" w:lineRule="auto"/>
        <w:jc w:val="both"/>
        <w:rPr>
          <w:rFonts w:asciiTheme="majorHAnsi" w:hAnsiTheme="majorHAnsi" w:cs="Segoe UI"/>
        </w:rPr>
      </w:pPr>
    </w:p>
    <w:p w14:paraId="3B52454A" w14:textId="77777777" w:rsidR="00173B5F" w:rsidRPr="00173B5F" w:rsidRDefault="00173B5F" w:rsidP="00173B5F">
      <w:pPr>
        <w:spacing w:after="0" w:line="360" w:lineRule="auto"/>
        <w:jc w:val="both"/>
        <w:rPr>
          <w:rFonts w:asciiTheme="majorHAnsi" w:hAnsiTheme="majorHAnsi" w:cs="Segoe UI"/>
        </w:rPr>
      </w:pPr>
      <w:r w:rsidRPr="00173B5F">
        <w:rPr>
          <w:rFonts w:asciiTheme="majorHAnsi" w:hAnsiTheme="majorHAnsi" w:cs="Segoe UI"/>
        </w:rPr>
        <w:t xml:space="preserve">Z hlediska designování klinických studií a jejich statistické signifikance nicméně </w:t>
      </w:r>
      <w:r w:rsidRPr="00173B5F">
        <w:rPr>
          <w:rFonts w:asciiTheme="majorHAnsi" w:hAnsiTheme="majorHAnsi" w:cs="Segoe UI"/>
          <w:u w:val="single"/>
        </w:rPr>
        <w:t xml:space="preserve">není </w:t>
      </w:r>
      <w:r w:rsidRPr="00173B5F">
        <w:rPr>
          <w:rFonts w:asciiTheme="majorHAnsi" w:hAnsiTheme="majorHAnsi" w:cs="Segoe UI"/>
        </w:rPr>
        <w:t xml:space="preserve">stávající praxe taková, že by výrobce v rámci svých klinických  programů zvyšovaly počet pacientů tak, aby CI byly co nejužší a bylo tak dosaženo co nejužšího (95%)CI. Takový přístup by značně zvýšil ekonomickou zátěž provádění klinických studií. Pracovní skupina se proto domnívá, že by měla být kritéria pro hodnocení vyšší účinnosti léčiv nastavena jiným způsobem, tedy </w:t>
      </w:r>
      <w:r w:rsidRPr="00173B5F">
        <w:rPr>
          <w:rFonts w:asciiTheme="majorHAnsi" w:hAnsiTheme="majorHAnsi" w:cs="Segoe UI"/>
          <w:b/>
        </w:rPr>
        <w:t xml:space="preserve">podle </w:t>
      </w:r>
      <w:r w:rsidRPr="00173B5F">
        <w:rPr>
          <w:rFonts w:asciiTheme="majorHAnsi" w:hAnsiTheme="majorHAnsi" w:cs="Segoe UI"/>
          <w:b/>
        </w:rPr>
        <w:lastRenderedPageBreak/>
        <w:t>průměrných hodnot ukazatelů relativní účinnosti</w:t>
      </w:r>
      <w:r w:rsidRPr="00173B5F">
        <w:rPr>
          <w:rFonts w:asciiTheme="majorHAnsi" w:hAnsiTheme="majorHAnsi" w:cs="Segoe UI"/>
        </w:rPr>
        <w:t xml:space="preserve"> za předpokladu klinické i statistické významnosti s hranicí definovanou dle jednotlivých outcomes (Tabulka 4). Pracovní skupina navrhuje následující členění (pokud uvažujeme, že průměrné hodnoty jsou zpravidla horší než horní mez CI dle IQWIG). Členění je však zcela arbitrární:</w:t>
      </w:r>
    </w:p>
    <w:p w14:paraId="5E390D1C" w14:textId="77777777" w:rsidR="00173B5F" w:rsidRPr="00173B5F" w:rsidRDefault="00173B5F" w:rsidP="00173B5F">
      <w:pPr>
        <w:spacing w:after="0" w:line="360" w:lineRule="auto"/>
        <w:jc w:val="both"/>
        <w:rPr>
          <w:rFonts w:asciiTheme="majorHAnsi" w:hAnsiTheme="majorHAnsi" w:cs="Segoe UI"/>
        </w:rPr>
      </w:pPr>
    </w:p>
    <w:p w14:paraId="4DB8D439" w14:textId="77777777" w:rsidR="00173B5F" w:rsidRPr="00173B5F" w:rsidRDefault="00173B5F" w:rsidP="00173B5F">
      <w:pPr>
        <w:spacing w:after="0" w:line="360" w:lineRule="auto"/>
        <w:jc w:val="both"/>
        <w:rPr>
          <w:rFonts w:asciiTheme="majorHAnsi" w:hAnsiTheme="majorHAnsi" w:cs="Segoe UI"/>
          <w:b/>
        </w:rPr>
      </w:pPr>
      <w:r w:rsidRPr="00173B5F">
        <w:rPr>
          <w:rFonts w:asciiTheme="majorHAnsi" w:hAnsiTheme="majorHAnsi" w:cs="Segoe UI"/>
          <w:b/>
        </w:rPr>
        <w:t>Tab. 4 Návrh pracovní skupiny CER na hodnocení účinnosti technologií</w:t>
      </w:r>
    </w:p>
    <w:tbl>
      <w:tblPr>
        <w:tblStyle w:val="TableGrid"/>
        <w:tblW w:w="0" w:type="auto"/>
        <w:tblLook w:val="04A0" w:firstRow="1" w:lastRow="0" w:firstColumn="1" w:lastColumn="0" w:noHBand="0" w:noVBand="1"/>
      </w:tblPr>
      <w:tblGrid>
        <w:gridCol w:w="1842"/>
        <w:gridCol w:w="2094"/>
        <w:gridCol w:w="2693"/>
        <w:gridCol w:w="2581"/>
      </w:tblGrid>
      <w:tr w:rsidR="00173B5F" w:rsidRPr="00173B5F" w14:paraId="57B005D2" w14:textId="77777777" w:rsidTr="004C0485">
        <w:tc>
          <w:tcPr>
            <w:tcW w:w="1842" w:type="dxa"/>
            <w:vMerge w:val="restart"/>
          </w:tcPr>
          <w:p w14:paraId="46B25B82" w14:textId="77777777" w:rsidR="00173B5F" w:rsidRPr="00173B5F" w:rsidRDefault="00173B5F" w:rsidP="004C0485">
            <w:pPr>
              <w:spacing w:line="276" w:lineRule="auto"/>
              <w:rPr>
                <w:rFonts w:asciiTheme="majorHAnsi" w:hAnsiTheme="majorHAnsi" w:cs="Segoe UI"/>
              </w:rPr>
            </w:pPr>
            <w:r w:rsidRPr="00173B5F">
              <w:rPr>
                <w:rFonts w:asciiTheme="majorHAnsi" w:hAnsiTheme="majorHAnsi" w:cs="Segoe UI"/>
              </w:rPr>
              <w:t>KATEGORIE BENEFITU</w:t>
            </w:r>
          </w:p>
        </w:tc>
        <w:tc>
          <w:tcPr>
            <w:tcW w:w="7368" w:type="dxa"/>
            <w:gridSpan w:val="3"/>
          </w:tcPr>
          <w:p w14:paraId="436D6B09" w14:textId="77777777" w:rsidR="00173B5F" w:rsidRPr="00173B5F" w:rsidRDefault="00173B5F" w:rsidP="004C0485">
            <w:pPr>
              <w:spacing w:line="276" w:lineRule="auto"/>
              <w:rPr>
                <w:rFonts w:asciiTheme="majorHAnsi" w:hAnsiTheme="majorHAnsi" w:cs="Segoe UI"/>
              </w:rPr>
            </w:pPr>
            <w:r w:rsidRPr="00173B5F">
              <w:rPr>
                <w:rFonts w:asciiTheme="majorHAnsi" w:hAnsiTheme="majorHAnsi" w:cs="Segoe UI"/>
              </w:rPr>
              <w:t>TYP PŘÍNOSU</w:t>
            </w:r>
          </w:p>
        </w:tc>
      </w:tr>
      <w:tr w:rsidR="00173B5F" w:rsidRPr="00173B5F" w14:paraId="622E6C45" w14:textId="77777777" w:rsidTr="004C0485">
        <w:tc>
          <w:tcPr>
            <w:tcW w:w="1842" w:type="dxa"/>
            <w:vMerge/>
          </w:tcPr>
          <w:p w14:paraId="16DC230E" w14:textId="77777777" w:rsidR="00173B5F" w:rsidRPr="00173B5F" w:rsidRDefault="00173B5F" w:rsidP="004C0485">
            <w:pPr>
              <w:spacing w:line="276" w:lineRule="auto"/>
              <w:rPr>
                <w:rFonts w:asciiTheme="majorHAnsi" w:hAnsiTheme="majorHAnsi" w:cs="Segoe UI"/>
              </w:rPr>
            </w:pPr>
          </w:p>
        </w:tc>
        <w:tc>
          <w:tcPr>
            <w:tcW w:w="2094" w:type="dxa"/>
          </w:tcPr>
          <w:p w14:paraId="16399ACB" w14:textId="77777777" w:rsidR="00173B5F" w:rsidRPr="00173B5F" w:rsidRDefault="00173B5F" w:rsidP="004C0485">
            <w:pPr>
              <w:spacing w:after="200" w:line="276" w:lineRule="auto"/>
              <w:rPr>
                <w:rFonts w:asciiTheme="majorHAnsi" w:hAnsiTheme="majorHAnsi" w:cs="Segoe UI"/>
                <w:i/>
              </w:rPr>
            </w:pPr>
            <w:r w:rsidRPr="00173B5F">
              <w:rPr>
                <w:rFonts w:asciiTheme="majorHAnsi" w:hAnsiTheme="majorHAnsi" w:cs="Segoe UI"/>
                <w:i/>
              </w:rPr>
              <w:t>Celkové přežití</w:t>
            </w:r>
          </w:p>
        </w:tc>
        <w:tc>
          <w:tcPr>
            <w:tcW w:w="2693" w:type="dxa"/>
          </w:tcPr>
          <w:p w14:paraId="3AF414E5" w14:textId="77777777" w:rsidR="00173B5F" w:rsidRPr="00173B5F" w:rsidRDefault="00173B5F" w:rsidP="004C0485">
            <w:pPr>
              <w:spacing w:after="200" w:line="276" w:lineRule="auto"/>
              <w:rPr>
                <w:rFonts w:asciiTheme="majorHAnsi" w:hAnsiTheme="majorHAnsi" w:cs="Segoe UI"/>
                <w:i/>
              </w:rPr>
            </w:pPr>
            <w:r w:rsidRPr="00173B5F">
              <w:rPr>
                <w:rFonts w:asciiTheme="majorHAnsi" w:hAnsiTheme="majorHAnsi" w:cs="Segoe UI"/>
                <w:i/>
              </w:rPr>
              <w:t>Závažné symptomy nebo komplikace onemocnění, kvalita života / závažné nežádoucí účinky</w:t>
            </w:r>
          </w:p>
        </w:tc>
        <w:tc>
          <w:tcPr>
            <w:tcW w:w="2581" w:type="dxa"/>
          </w:tcPr>
          <w:p w14:paraId="40D2630B" w14:textId="77777777" w:rsidR="00173B5F" w:rsidRPr="00173B5F" w:rsidRDefault="00173B5F" w:rsidP="004C0485">
            <w:pPr>
              <w:spacing w:after="200" w:line="276" w:lineRule="auto"/>
              <w:rPr>
                <w:rFonts w:asciiTheme="majorHAnsi" w:hAnsiTheme="majorHAnsi" w:cs="Segoe UI"/>
                <w:i/>
              </w:rPr>
            </w:pPr>
            <w:r w:rsidRPr="00173B5F">
              <w:rPr>
                <w:rFonts w:asciiTheme="majorHAnsi" w:hAnsiTheme="majorHAnsi" w:cs="Segoe UI"/>
                <w:i/>
              </w:rPr>
              <w:t>Nezávažné symptomy nebo komplikace onemocnění / nezávažné nežádoucí účinky</w:t>
            </w:r>
          </w:p>
        </w:tc>
      </w:tr>
      <w:tr w:rsidR="00173B5F" w:rsidRPr="00173B5F" w14:paraId="1CC64751" w14:textId="77777777" w:rsidTr="004C0485">
        <w:tc>
          <w:tcPr>
            <w:tcW w:w="1842" w:type="dxa"/>
          </w:tcPr>
          <w:p w14:paraId="29FC73A7" w14:textId="77777777" w:rsidR="00173B5F" w:rsidRPr="00173B5F" w:rsidRDefault="00173B5F" w:rsidP="004C0485">
            <w:pPr>
              <w:spacing w:line="276" w:lineRule="auto"/>
              <w:rPr>
                <w:rFonts w:asciiTheme="majorHAnsi" w:hAnsiTheme="majorHAnsi" w:cs="Segoe UI"/>
              </w:rPr>
            </w:pPr>
            <w:r w:rsidRPr="00173B5F">
              <w:rPr>
                <w:rFonts w:asciiTheme="majorHAnsi" w:hAnsiTheme="majorHAnsi" w:cs="Segoe UI"/>
              </w:rPr>
              <w:t>Výrazně vyšší benefit</w:t>
            </w:r>
          </w:p>
        </w:tc>
        <w:tc>
          <w:tcPr>
            <w:tcW w:w="2094" w:type="dxa"/>
          </w:tcPr>
          <w:p w14:paraId="54ED8650" w14:textId="77777777" w:rsidR="00173B5F" w:rsidRPr="00173B5F" w:rsidRDefault="00173B5F" w:rsidP="004C0485">
            <w:pPr>
              <w:spacing w:line="276" w:lineRule="auto"/>
              <w:rPr>
                <w:rFonts w:asciiTheme="majorHAnsi" w:hAnsiTheme="majorHAnsi" w:cs="Segoe UI"/>
              </w:rPr>
            </w:pPr>
            <w:r w:rsidRPr="00173B5F">
              <w:rPr>
                <w:rFonts w:asciiTheme="majorHAnsi" w:hAnsiTheme="majorHAnsi" w:cs="Segoe UI"/>
              </w:rPr>
              <w:t>0,70</w:t>
            </w:r>
          </w:p>
        </w:tc>
        <w:tc>
          <w:tcPr>
            <w:tcW w:w="2693" w:type="dxa"/>
          </w:tcPr>
          <w:p w14:paraId="37469131" w14:textId="77777777" w:rsidR="00173B5F" w:rsidRPr="00173B5F" w:rsidRDefault="00173B5F" w:rsidP="004C0485">
            <w:pPr>
              <w:spacing w:line="276" w:lineRule="auto"/>
              <w:rPr>
                <w:rFonts w:asciiTheme="majorHAnsi" w:hAnsiTheme="majorHAnsi" w:cs="Segoe UI"/>
              </w:rPr>
            </w:pPr>
            <w:r w:rsidRPr="00173B5F">
              <w:rPr>
                <w:rFonts w:asciiTheme="majorHAnsi" w:hAnsiTheme="majorHAnsi" w:cs="Segoe UI"/>
              </w:rPr>
              <w:t>0,60; pokud je base-line riziko alespoň 5% pro alespoň jednu porovnávanou skupinu</w:t>
            </w:r>
          </w:p>
        </w:tc>
        <w:tc>
          <w:tcPr>
            <w:tcW w:w="2581" w:type="dxa"/>
          </w:tcPr>
          <w:p w14:paraId="293CCE62" w14:textId="77777777" w:rsidR="00173B5F" w:rsidRPr="00173B5F" w:rsidRDefault="00173B5F" w:rsidP="004C0485">
            <w:pPr>
              <w:spacing w:line="276" w:lineRule="auto"/>
              <w:rPr>
                <w:rFonts w:asciiTheme="majorHAnsi" w:hAnsiTheme="majorHAnsi" w:cs="Segoe UI"/>
              </w:rPr>
            </w:pPr>
            <w:r w:rsidRPr="00173B5F">
              <w:rPr>
                <w:rFonts w:asciiTheme="majorHAnsi" w:hAnsiTheme="majorHAnsi" w:cs="Segoe UI"/>
              </w:rPr>
              <w:t>Nedostatečné</w:t>
            </w:r>
          </w:p>
        </w:tc>
      </w:tr>
      <w:tr w:rsidR="00173B5F" w:rsidRPr="00173B5F" w14:paraId="1C8D8EA3" w14:textId="77777777" w:rsidTr="004C0485">
        <w:tc>
          <w:tcPr>
            <w:tcW w:w="1842" w:type="dxa"/>
          </w:tcPr>
          <w:p w14:paraId="7DAAAD5D" w14:textId="77777777" w:rsidR="00173B5F" w:rsidRPr="00173B5F" w:rsidRDefault="00173B5F" w:rsidP="004C0485">
            <w:pPr>
              <w:spacing w:line="276" w:lineRule="auto"/>
              <w:rPr>
                <w:rFonts w:asciiTheme="majorHAnsi" w:hAnsiTheme="majorHAnsi" w:cs="Segoe UI"/>
              </w:rPr>
            </w:pPr>
            <w:r w:rsidRPr="00173B5F">
              <w:rPr>
                <w:rFonts w:asciiTheme="majorHAnsi" w:hAnsiTheme="majorHAnsi" w:cs="Segoe UI"/>
              </w:rPr>
              <w:t>Klinicky vyšší benefit</w:t>
            </w:r>
          </w:p>
        </w:tc>
        <w:tc>
          <w:tcPr>
            <w:tcW w:w="2094" w:type="dxa"/>
          </w:tcPr>
          <w:p w14:paraId="17C9B8CE" w14:textId="77777777" w:rsidR="00173B5F" w:rsidRPr="00173B5F" w:rsidRDefault="00173B5F" w:rsidP="004C0485">
            <w:pPr>
              <w:spacing w:line="276" w:lineRule="auto"/>
              <w:rPr>
                <w:rFonts w:asciiTheme="majorHAnsi" w:hAnsiTheme="majorHAnsi" w:cs="Segoe UI"/>
              </w:rPr>
            </w:pPr>
            <w:r w:rsidRPr="00173B5F">
              <w:rPr>
                <w:rFonts w:asciiTheme="majorHAnsi" w:hAnsiTheme="majorHAnsi" w:cs="Segoe UI"/>
              </w:rPr>
              <w:t>Klinicky a statisticky významný rozdíl</w:t>
            </w:r>
          </w:p>
        </w:tc>
        <w:tc>
          <w:tcPr>
            <w:tcW w:w="2693" w:type="dxa"/>
          </w:tcPr>
          <w:p w14:paraId="30C37F98" w14:textId="77777777" w:rsidR="00173B5F" w:rsidRPr="00173B5F" w:rsidRDefault="00173B5F" w:rsidP="004C0485">
            <w:pPr>
              <w:spacing w:line="276" w:lineRule="auto"/>
              <w:rPr>
                <w:rFonts w:asciiTheme="majorHAnsi" w:hAnsiTheme="majorHAnsi" w:cs="Segoe UI"/>
              </w:rPr>
            </w:pPr>
            <w:r w:rsidRPr="00173B5F">
              <w:rPr>
                <w:rFonts w:asciiTheme="majorHAnsi" w:hAnsiTheme="majorHAnsi" w:cs="Segoe UI"/>
              </w:rPr>
              <w:t>Klinicky a statisticky významný rozdíl</w:t>
            </w:r>
          </w:p>
        </w:tc>
        <w:tc>
          <w:tcPr>
            <w:tcW w:w="2581" w:type="dxa"/>
          </w:tcPr>
          <w:p w14:paraId="5702AC01" w14:textId="77777777" w:rsidR="00173B5F" w:rsidRPr="00173B5F" w:rsidRDefault="00173B5F" w:rsidP="004C0485">
            <w:pPr>
              <w:spacing w:line="276" w:lineRule="auto"/>
              <w:rPr>
                <w:rFonts w:asciiTheme="majorHAnsi" w:hAnsiTheme="majorHAnsi" w:cs="Segoe UI"/>
              </w:rPr>
            </w:pPr>
            <w:r w:rsidRPr="00173B5F">
              <w:rPr>
                <w:rFonts w:asciiTheme="majorHAnsi" w:hAnsiTheme="majorHAnsi" w:cs="Segoe UI"/>
              </w:rPr>
              <w:t>Klinicky a statisticky významný rozdíl</w:t>
            </w:r>
          </w:p>
        </w:tc>
      </w:tr>
    </w:tbl>
    <w:p w14:paraId="7DA5C8BF" w14:textId="77777777" w:rsidR="00173B5F" w:rsidRPr="00173B5F" w:rsidRDefault="00173B5F" w:rsidP="00173B5F">
      <w:pPr>
        <w:spacing w:after="0" w:line="360" w:lineRule="auto"/>
        <w:rPr>
          <w:rFonts w:asciiTheme="majorHAnsi" w:hAnsiTheme="majorHAnsi" w:cs="Segoe UI"/>
        </w:rPr>
      </w:pPr>
      <w:r w:rsidRPr="00173B5F">
        <w:rPr>
          <w:rFonts w:asciiTheme="majorHAnsi" w:hAnsiTheme="majorHAnsi" w:cs="Segoe UI"/>
        </w:rPr>
        <w:t>Možno se ještě zamyslet nad diagnózami, které mají velký populační dopad (diabetes, CHOPN, …), zda nestanovit nižší hranici pro Výrazně vyšší benefit, kdy i menší změna může být na populační úrovni zcela zásadní dopad.</w:t>
      </w:r>
    </w:p>
    <w:p w14:paraId="5C1336CE" w14:textId="77777777" w:rsidR="00173B5F" w:rsidRPr="00173B5F" w:rsidRDefault="00173B5F" w:rsidP="00173B5F">
      <w:pPr>
        <w:rPr>
          <w:rFonts w:asciiTheme="majorHAnsi" w:hAnsiTheme="majorHAnsi" w:cs="Segoe UI"/>
        </w:rPr>
      </w:pPr>
      <w:r w:rsidRPr="00173B5F">
        <w:rPr>
          <w:rFonts w:asciiTheme="majorHAnsi" w:hAnsiTheme="majorHAnsi" w:cs="Segoe UI"/>
        </w:rPr>
        <w:br w:type="page"/>
      </w:r>
    </w:p>
    <w:p w14:paraId="682A5A92" w14:textId="77777777" w:rsidR="00173B5F" w:rsidRPr="00173B5F" w:rsidRDefault="00173B5F" w:rsidP="00173B5F">
      <w:pPr>
        <w:spacing w:after="0" w:line="360" w:lineRule="auto"/>
        <w:rPr>
          <w:rFonts w:asciiTheme="majorHAnsi" w:hAnsiTheme="majorHAnsi" w:cs="Segoe UI"/>
        </w:rPr>
      </w:pPr>
      <w:r w:rsidRPr="00173B5F">
        <w:rPr>
          <w:rFonts w:asciiTheme="majorHAnsi" w:hAnsiTheme="majorHAnsi" w:cs="Segoe UI"/>
        </w:rPr>
        <w:lastRenderedPageBreak/>
        <w:t xml:space="preserve">Obecně platí, že účinnost, bezpečnost je nutné vztahovat k relevantnímu komparátoru a k dané cílové populaci pacientů. V neposlední řadě je pak důležité na relativní efekt technologie pohlížet i co do absolutních čísel, aby tento efekt byl </w:t>
      </w:r>
      <w:r w:rsidRPr="00173B5F">
        <w:rPr>
          <w:rFonts w:asciiTheme="majorHAnsi" w:hAnsiTheme="majorHAnsi" w:cs="Segoe UI"/>
          <w:b/>
        </w:rPr>
        <w:t>významný klinicky a i pro samotného pacienta</w:t>
      </w:r>
      <w:r w:rsidRPr="00173B5F">
        <w:rPr>
          <w:rFonts w:asciiTheme="majorHAnsi" w:hAnsiTheme="majorHAnsi" w:cs="Segoe UI"/>
        </w:rPr>
        <w:t>. Tedy například:</w:t>
      </w:r>
    </w:p>
    <w:p w14:paraId="3BE175CC" w14:textId="77777777" w:rsidR="00173B5F" w:rsidRPr="00173B5F" w:rsidRDefault="00173B5F" w:rsidP="00173B5F">
      <w:pPr>
        <w:spacing w:line="360" w:lineRule="auto"/>
        <w:jc w:val="both"/>
        <w:rPr>
          <w:rFonts w:asciiTheme="majorHAnsi" w:hAnsiTheme="majorHAnsi" w:cs="Segoe UI"/>
        </w:rPr>
      </w:pPr>
      <w:r w:rsidRPr="00173B5F">
        <w:rPr>
          <w:rFonts w:asciiTheme="majorHAnsi" w:hAnsiTheme="majorHAnsi" w:cs="Segoe UI"/>
        </w:rPr>
        <w:t>Pokud je jistý klinicky významný outcome, například responze, nebo remise (která tak jednoznačně ovlivňuje QoL pacienta) pozorován v rámci komparátora s četností 1% a v rameni hodnocené technologie s četností 3%, pak je sice relativní účinnost hodnocené technologie 3x vyšší, ovšem z klinického hlediska při léčbě všech pacientů (100%) se nejedná o zcela přesvědčivý výsledek jednoznačné/ výrazně vyššího benefitu takovéto terapie. V případě, že by stávající terapie (komparátor) poskytoval odpověď ve výši 10%, zatímco hodnocená intervence ve výši 20%, je sice efekt hodnocené terapie (ve srovnání s předchozím případem) „pouze“ 2 x takový, ovšem z klinického pohledu se jistě jedná o vyšší úspěch takového intervence, než tomu bylo v případě předchozím (1% vs. 3%).</w:t>
      </w:r>
    </w:p>
    <w:p w14:paraId="5370D605" w14:textId="77777777" w:rsidR="00173B5F" w:rsidRPr="00173B5F" w:rsidRDefault="00173B5F" w:rsidP="00173B5F">
      <w:pPr>
        <w:spacing w:line="360" w:lineRule="auto"/>
        <w:jc w:val="both"/>
        <w:rPr>
          <w:rFonts w:asciiTheme="majorHAnsi" w:hAnsiTheme="majorHAnsi" w:cs="Segoe UI"/>
        </w:rPr>
      </w:pPr>
      <w:r w:rsidRPr="00173B5F">
        <w:rPr>
          <w:rFonts w:asciiTheme="majorHAnsi" w:hAnsiTheme="majorHAnsi" w:cs="Segoe UI"/>
        </w:rPr>
        <w:t>Tento fenomén je ovšem zcela jednoduše kvantifikovatelný v případě zdravotně ekonomického hodnocení, respektive vyjádření přínosů ve formě QALY (na 1 průměrného pacienta – pozn. Standardní přístup v rámci HE hodnocení), kdy extrémně nízký zisk QALY jednoznačně ukazuje na nízkou absolutní účinnost na populační úrovni.</w:t>
      </w:r>
    </w:p>
    <w:p w14:paraId="2ACF5F86" w14:textId="77777777" w:rsidR="00173B5F" w:rsidRPr="00173B5F" w:rsidRDefault="00173B5F" w:rsidP="00173B5F">
      <w:pPr>
        <w:spacing w:line="360" w:lineRule="auto"/>
        <w:jc w:val="both"/>
        <w:rPr>
          <w:rFonts w:asciiTheme="majorHAnsi" w:hAnsiTheme="majorHAnsi" w:cs="Segoe UI"/>
        </w:rPr>
      </w:pPr>
      <w:r w:rsidRPr="00173B5F">
        <w:rPr>
          <w:rFonts w:asciiTheme="majorHAnsi" w:hAnsiTheme="majorHAnsi" w:cs="Segoe UI"/>
        </w:rPr>
        <w:t xml:space="preserve">V neposlední řadě je třeba mít na paměti, že relativní účinnost poskytuje přesně takovou účinnost co do absolutních čísel s ohledem na </w:t>
      </w:r>
      <w:r w:rsidRPr="00173B5F">
        <w:rPr>
          <w:rFonts w:asciiTheme="majorHAnsi" w:hAnsiTheme="majorHAnsi" w:cs="Segoe UI"/>
          <w:b/>
        </w:rPr>
        <w:t>rizikovost populace</w:t>
      </w:r>
      <w:r w:rsidRPr="00173B5F">
        <w:rPr>
          <w:rFonts w:asciiTheme="majorHAnsi" w:hAnsiTheme="majorHAnsi" w:cs="Segoe UI"/>
        </w:rPr>
        <w:t>. V případě, že je jistá komplikace v populaci častější (vyšší rizikovost populace), byť menší relativní účinnost hodnocené technologie poskytuje na populační úrovni vyšší absolutní benefit, a naopak. (</w:t>
      </w:r>
      <w:r w:rsidRPr="00173B5F">
        <w:rPr>
          <w:rFonts w:asciiTheme="majorHAnsi" w:hAnsiTheme="majorHAnsi" w:cs="Segoe UI"/>
          <w:i/>
        </w:rPr>
        <w:t>Příklad</w:t>
      </w:r>
      <w:r w:rsidRPr="00173B5F">
        <w:rPr>
          <w:rFonts w:asciiTheme="majorHAnsi" w:hAnsiTheme="majorHAnsi" w:cs="Segoe UI"/>
        </w:rPr>
        <w:t>: Očkování proti virům HPV bude více (nákladově) efektivní u populace, kde je vysoký výskyt karcinomu děložního čípku a dalších HPV asociovaných maligních a benigních onemocnění, atp.).</w:t>
      </w:r>
    </w:p>
    <w:p w14:paraId="70906C1F" w14:textId="77777777" w:rsidR="00173B5F" w:rsidRPr="00173B5F" w:rsidRDefault="00173B5F" w:rsidP="00173B5F">
      <w:pPr>
        <w:spacing w:line="360" w:lineRule="auto"/>
        <w:jc w:val="both"/>
        <w:rPr>
          <w:rFonts w:asciiTheme="majorHAnsi" w:hAnsiTheme="majorHAnsi" w:cs="Segoe UI"/>
        </w:rPr>
      </w:pPr>
    </w:p>
    <w:p w14:paraId="6F90D64C" w14:textId="77777777" w:rsidR="00173B5F" w:rsidRPr="00173B5F" w:rsidRDefault="00173B5F" w:rsidP="00173B5F">
      <w:pPr>
        <w:rPr>
          <w:rFonts w:asciiTheme="majorHAnsi" w:hAnsiTheme="majorHAnsi" w:cs="Segoe UI"/>
        </w:rPr>
      </w:pPr>
      <w:r w:rsidRPr="00173B5F">
        <w:rPr>
          <w:rFonts w:asciiTheme="majorHAnsi" w:hAnsiTheme="majorHAnsi" w:cs="Segoe UI"/>
        </w:rPr>
        <w:br w:type="page"/>
      </w:r>
    </w:p>
    <w:p w14:paraId="227A1753" w14:textId="77777777" w:rsidR="00173B5F" w:rsidRPr="00173B5F" w:rsidRDefault="00173B5F" w:rsidP="00173B5F">
      <w:pPr>
        <w:spacing w:line="360" w:lineRule="auto"/>
        <w:jc w:val="both"/>
        <w:rPr>
          <w:rFonts w:asciiTheme="majorHAnsi" w:hAnsiTheme="majorHAnsi" w:cs="Segoe UI"/>
        </w:rPr>
      </w:pPr>
      <w:r w:rsidRPr="00173B5F">
        <w:rPr>
          <w:rFonts w:asciiTheme="majorHAnsi" w:hAnsiTheme="majorHAnsi" w:cs="Segoe UI"/>
        </w:rPr>
        <w:lastRenderedPageBreak/>
        <w:t>Autoři této přílohy v rámci pracovní skupiny CER pak závěrem zdůrazňují, že na hodnocení jednotlivých HTA agentur je vždy třeba hledět v kontextu (a to jak pořizovací ceny technologie – v případě HE aspektu) především z pohledu cílové populace posuzované technologie, kdy jednotlivá omezení na příslušné sub-populace (pod-skupiny) mohou zcela zásadním způsobem ovlivnit relativní účinnost a tedy i hodnocení a doporučení jednotlivých HTA agentur.</w:t>
      </w:r>
    </w:p>
    <w:p w14:paraId="40DD8C6A" w14:textId="77777777" w:rsidR="00173B5F" w:rsidRPr="00173B5F" w:rsidRDefault="00173B5F" w:rsidP="00173B5F">
      <w:pPr>
        <w:spacing w:line="360" w:lineRule="auto"/>
        <w:rPr>
          <w:rFonts w:asciiTheme="majorHAnsi" w:hAnsiTheme="majorHAnsi" w:cs="Segoe UI"/>
          <w:b/>
        </w:rPr>
      </w:pPr>
    </w:p>
    <w:p w14:paraId="43B233D4" w14:textId="77777777" w:rsidR="00173B5F" w:rsidRPr="00173B5F" w:rsidRDefault="00173B5F" w:rsidP="0092701F">
      <w:pPr>
        <w:rPr>
          <w:rFonts w:asciiTheme="majorHAnsi" w:hAnsiTheme="majorHAnsi"/>
          <w:b/>
          <w:sz w:val="24"/>
          <w:szCs w:val="24"/>
        </w:rPr>
      </w:pPr>
    </w:p>
    <w:p w14:paraId="0EA020E4" w14:textId="3A3ABECC" w:rsidR="00F77D82" w:rsidRPr="00173B5F" w:rsidRDefault="00F77D82" w:rsidP="0092701F">
      <w:pPr>
        <w:rPr>
          <w:rFonts w:asciiTheme="majorHAnsi" w:hAnsiTheme="majorHAnsi"/>
          <w:b/>
          <w:sz w:val="24"/>
          <w:szCs w:val="24"/>
        </w:rPr>
      </w:pPr>
      <w:r w:rsidRPr="00173B5F">
        <w:rPr>
          <w:rFonts w:asciiTheme="majorHAnsi" w:hAnsiTheme="majorHAnsi"/>
          <w:b/>
          <w:sz w:val="24"/>
          <w:szCs w:val="24"/>
        </w:rPr>
        <w:br w:type="page"/>
      </w:r>
    </w:p>
    <w:p w14:paraId="7AB674F1" w14:textId="77777777" w:rsidR="004E06C8" w:rsidRPr="004E06C8" w:rsidRDefault="004E06C8" w:rsidP="0092701F">
      <w:pPr>
        <w:rPr>
          <w:rFonts w:asciiTheme="majorHAnsi" w:hAnsiTheme="majorHAnsi"/>
          <w:b/>
          <w:sz w:val="24"/>
          <w:szCs w:val="24"/>
        </w:rPr>
      </w:pPr>
    </w:p>
    <w:p w14:paraId="301A746A" w14:textId="69F4C290" w:rsidR="004E06C8" w:rsidRPr="004E06C8" w:rsidRDefault="002C20D4" w:rsidP="0092701F">
      <w:pPr>
        <w:rPr>
          <w:rFonts w:asciiTheme="majorHAnsi" w:hAnsiTheme="majorHAnsi"/>
          <w:b/>
          <w:sz w:val="24"/>
          <w:szCs w:val="24"/>
        </w:rPr>
      </w:pPr>
      <w:r>
        <w:rPr>
          <w:rFonts w:asciiTheme="majorHAnsi" w:hAnsiTheme="majorHAnsi"/>
          <w:b/>
          <w:sz w:val="24"/>
          <w:szCs w:val="24"/>
        </w:rPr>
        <w:t>Literatura</w:t>
      </w:r>
      <w:r w:rsidR="00895F4D">
        <w:rPr>
          <w:rFonts w:asciiTheme="majorHAnsi" w:hAnsiTheme="majorHAnsi"/>
          <w:b/>
          <w:sz w:val="24"/>
          <w:szCs w:val="24"/>
        </w:rPr>
        <w:t>/zdroje</w:t>
      </w:r>
      <w:r>
        <w:rPr>
          <w:rFonts w:asciiTheme="majorHAnsi" w:hAnsiTheme="majorHAnsi"/>
          <w:b/>
          <w:sz w:val="24"/>
          <w:szCs w:val="24"/>
        </w:rPr>
        <w:t>:</w:t>
      </w:r>
    </w:p>
    <w:p w14:paraId="01F0D915" w14:textId="77777777" w:rsidR="004E06C8" w:rsidRPr="004E06C8" w:rsidRDefault="004E06C8" w:rsidP="0092701F">
      <w:pPr>
        <w:rPr>
          <w:rFonts w:asciiTheme="majorHAnsi" w:hAnsiTheme="majorHAnsi"/>
          <w:b/>
          <w:sz w:val="24"/>
          <w:szCs w:val="24"/>
        </w:rPr>
      </w:pPr>
    </w:p>
    <w:sectPr w:rsidR="004E06C8" w:rsidRPr="004E06C8" w:rsidSect="00155249">
      <w:footerReference w:type="even" r:id="rId33"/>
      <w:footerReference w:type="default" r:id="rId3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CFEDD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09734" w14:textId="77777777" w:rsidR="00220D30" w:rsidRDefault="00220D30" w:rsidP="003D7B90">
      <w:pPr>
        <w:spacing w:after="0" w:line="240" w:lineRule="auto"/>
      </w:pPr>
      <w:r>
        <w:separator/>
      </w:r>
    </w:p>
  </w:endnote>
  <w:endnote w:type="continuationSeparator" w:id="0">
    <w:p w14:paraId="4497CF27" w14:textId="77777777" w:rsidR="00220D30" w:rsidRDefault="00220D30" w:rsidP="003D7B90">
      <w:pPr>
        <w:spacing w:after="0" w:line="240" w:lineRule="auto"/>
      </w:pPr>
      <w:r>
        <w:continuationSeparator/>
      </w:r>
    </w:p>
  </w:endnote>
  <w:endnote w:id="1">
    <w:p w14:paraId="5A333074" w14:textId="77777777" w:rsidR="007F6B04" w:rsidRPr="001A55AE" w:rsidRDefault="007F6B04" w:rsidP="001A55AE">
      <w:pPr>
        <w:spacing w:after="0" w:line="360" w:lineRule="auto"/>
        <w:ind w:left="709" w:hanging="709"/>
        <w:rPr>
          <w:rFonts w:cs="Segoe UI"/>
          <w:sz w:val="24"/>
          <w:szCs w:val="24"/>
        </w:rPr>
      </w:pPr>
      <w:r w:rsidRPr="00E60A50">
        <w:rPr>
          <w:rStyle w:val="EndnoteReference"/>
          <w:rFonts w:ascii="Segoe UI" w:hAnsi="Segoe UI" w:cs="Segoe UI"/>
          <w:sz w:val="20"/>
          <w:szCs w:val="20"/>
        </w:rPr>
        <w:endnoteRef/>
      </w:r>
      <w:r w:rsidRPr="00E60A50">
        <w:rPr>
          <w:rFonts w:ascii="Segoe UI" w:hAnsi="Segoe UI" w:cs="Segoe UI"/>
          <w:sz w:val="20"/>
          <w:szCs w:val="20"/>
        </w:rPr>
        <w:t xml:space="preserve"> </w:t>
      </w:r>
      <w:r w:rsidRPr="00E60A50">
        <w:rPr>
          <w:rFonts w:ascii="Segoe UI" w:hAnsi="Segoe UI" w:cs="Segoe UI"/>
          <w:sz w:val="20"/>
          <w:szCs w:val="20"/>
        </w:rPr>
        <w:tab/>
      </w:r>
      <w:proofErr w:type="spellStart"/>
      <w:r w:rsidRPr="00FC6DBE">
        <w:rPr>
          <w:rFonts w:cs="Segoe UI"/>
          <w:sz w:val="24"/>
          <w:szCs w:val="24"/>
        </w:rPr>
        <w:t>Praveen</w:t>
      </w:r>
      <w:proofErr w:type="spellEnd"/>
      <w:r w:rsidRPr="00FC6DBE">
        <w:rPr>
          <w:rFonts w:cs="Segoe UI"/>
          <w:sz w:val="24"/>
          <w:szCs w:val="24"/>
        </w:rPr>
        <w:t xml:space="preserve"> </w:t>
      </w:r>
      <w:proofErr w:type="spellStart"/>
      <w:r w:rsidRPr="00FC6DBE">
        <w:rPr>
          <w:rFonts w:cs="Segoe UI"/>
          <w:sz w:val="24"/>
          <w:szCs w:val="24"/>
        </w:rPr>
        <w:t>Thokala</w:t>
      </w:r>
      <w:proofErr w:type="spellEnd"/>
      <w:r w:rsidRPr="00FC6DBE">
        <w:rPr>
          <w:rFonts w:cs="Segoe UI"/>
          <w:sz w:val="24"/>
          <w:szCs w:val="24"/>
        </w:rPr>
        <w:t xml:space="preserve">, </w:t>
      </w:r>
      <w:proofErr w:type="spellStart"/>
      <w:r w:rsidRPr="00FC6DBE">
        <w:rPr>
          <w:rFonts w:cs="Segoe UI"/>
          <w:sz w:val="24"/>
          <w:szCs w:val="24"/>
        </w:rPr>
        <w:t>Alejandra</w:t>
      </w:r>
      <w:proofErr w:type="spellEnd"/>
      <w:r w:rsidRPr="00FC6DBE">
        <w:rPr>
          <w:rFonts w:cs="Segoe UI"/>
          <w:sz w:val="24"/>
          <w:szCs w:val="24"/>
        </w:rPr>
        <w:t xml:space="preserve"> </w:t>
      </w:r>
      <w:proofErr w:type="spellStart"/>
      <w:r w:rsidRPr="00FC6DBE">
        <w:rPr>
          <w:rFonts w:cs="Segoe UI"/>
          <w:sz w:val="24"/>
          <w:szCs w:val="24"/>
        </w:rPr>
        <w:t>Duenas</w:t>
      </w:r>
      <w:proofErr w:type="spellEnd"/>
      <w:r w:rsidRPr="00FC6DBE">
        <w:rPr>
          <w:rFonts w:cs="Segoe UI"/>
          <w:sz w:val="24"/>
          <w:szCs w:val="24"/>
        </w:rPr>
        <w:t xml:space="preserve">. </w:t>
      </w:r>
      <w:proofErr w:type="spellStart"/>
      <w:r w:rsidRPr="00FC6DBE">
        <w:rPr>
          <w:rFonts w:cs="Segoe UI"/>
          <w:sz w:val="24"/>
          <w:szCs w:val="24"/>
        </w:rPr>
        <w:t>Multiple</w:t>
      </w:r>
      <w:proofErr w:type="spellEnd"/>
      <w:r w:rsidRPr="00FC6DBE">
        <w:rPr>
          <w:rFonts w:cs="Segoe UI"/>
          <w:sz w:val="24"/>
          <w:szCs w:val="24"/>
        </w:rPr>
        <w:t xml:space="preserve"> Criteria </w:t>
      </w:r>
      <w:proofErr w:type="spellStart"/>
      <w:r w:rsidRPr="00FC6DBE">
        <w:rPr>
          <w:rFonts w:cs="Segoe UI"/>
          <w:sz w:val="24"/>
          <w:szCs w:val="24"/>
        </w:rPr>
        <w:t>Decision</w:t>
      </w:r>
      <w:proofErr w:type="spellEnd"/>
      <w:r w:rsidRPr="00FC6DBE">
        <w:rPr>
          <w:rFonts w:cs="Segoe UI"/>
          <w:sz w:val="24"/>
          <w:szCs w:val="24"/>
        </w:rPr>
        <w:t xml:space="preserve"> Analysis for Health Technology Assessment. VALUE IN HEALTH 15 (2012) 1172–1181</w:t>
      </w:r>
    </w:p>
  </w:endnote>
  <w:endnote w:id="2">
    <w:p w14:paraId="78D6AB4D" w14:textId="77777777" w:rsidR="007F6B04" w:rsidRDefault="007F6B04" w:rsidP="001B1C8D">
      <w:pPr>
        <w:spacing w:after="0" w:line="360" w:lineRule="auto"/>
        <w:ind w:left="705" w:hanging="705"/>
      </w:pPr>
      <w:r>
        <w:rPr>
          <w:sz w:val="20"/>
          <w:szCs w:val="20"/>
        </w:rPr>
        <w:t>ii</w:t>
      </w:r>
      <w:r w:rsidRPr="00E60A50">
        <w:rPr>
          <w:rFonts w:ascii="Segoe UI" w:hAnsi="Segoe UI" w:cs="Segoe UI"/>
          <w:sz w:val="20"/>
          <w:szCs w:val="20"/>
        </w:rPr>
        <w:tab/>
      </w:r>
      <w:proofErr w:type="spellStart"/>
      <w:r>
        <w:t>Sussex</w:t>
      </w:r>
      <w:proofErr w:type="spellEnd"/>
      <w:r>
        <w:t xml:space="preserve"> Jon et al.  </w:t>
      </w:r>
      <w:r w:rsidRPr="001A55AE">
        <w:t xml:space="preserve">A Pilot Study of </w:t>
      </w:r>
      <w:proofErr w:type="spellStart"/>
      <w:r w:rsidRPr="001A55AE">
        <w:t>Multicriteria</w:t>
      </w:r>
      <w:proofErr w:type="spellEnd"/>
      <w:r w:rsidRPr="001A55AE">
        <w:t xml:space="preserve"> </w:t>
      </w:r>
      <w:proofErr w:type="spellStart"/>
      <w:r w:rsidRPr="001A55AE">
        <w:t>Decision</w:t>
      </w:r>
      <w:proofErr w:type="spellEnd"/>
      <w:r w:rsidRPr="001A55AE">
        <w:t xml:space="preserve"> Analysis for </w:t>
      </w:r>
      <w:proofErr w:type="spellStart"/>
      <w:r w:rsidRPr="001A55AE">
        <w:t>Valuing</w:t>
      </w:r>
      <w:proofErr w:type="spellEnd"/>
      <w:r w:rsidRPr="001A55AE">
        <w:t xml:space="preserve"> </w:t>
      </w:r>
      <w:proofErr w:type="spellStart"/>
      <w:r w:rsidRPr="001A55AE">
        <w:t>Orphan</w:t>
      </w:r>
      <w:proofErr w:type="spellEnd"/>
      <w:r w:rsidRPr="001A55AE">
        <w:t xml:space="preserve"> </w:t>
      </w:r>
      <w:proofErr w:type="spellStart"/>
      <w:r w:rsidRPr="001A55AE">
        <w:t>Medicines</w:t>
      </w:r>
      <w:proofErr w:type="spellEnd"/>
      <w:r>
        <w:t xml:space="preserve">. </w:t>
      </w:r>
      <w:r w:rsidRPr="00FC6DBE">
        <w:rPr>
          <w:rFonts w:cs="Segoe UI"/>
          <w:sz w:val="24"/>
          <w:szCs w:val="24"/>
        </w:rPr>
        <w:t xml:space="preserve">VALUE IN HEALTH </w:t>
      </w:r>
      <w:r>
        <w:t>16 (2013) 1163-1169</w:t>
      </w:r>
    </w:p>
    <w:p w14:paraId="5E76AF05" w14:textId="77777777" w:rsidR="007F6B04" w:rsidRDefault="007F6B04" w:rsidP="001B1C8D">
      <w:pPr>
        <w:spacing w:after="0" w:line="360" w:lineRule="auto"/>
        <w:ind w:left="709" w:hanging="709"/>
      </w:pPr>
      <w:r>
        <w:t>iii</w:t>
      </w:r>
      <w:r>
        <w:tab/>
      </w:r>
      <w:hyperlink r:id="rId1" w:history="1">
        <w:r w:rsidRPr="00FC6DBE">
          <w:rPr>
            <w:rStyle w:val="Hyperlink"/>
            <w:rFonts w:ascii="Segoe UI" w:hAnsi="Segoe UI" w:cs="Segoe UI"/>
            <w:sz w:val="24"/>
            <w:szCs w:val="24"/>
          </w:rPr>
          <w:t>https://www.evidem.org/components-decision.php</w:t>
        </w:r>
      </w:hyperlink>
    </w:p>
    <w:p w14:paraId="0A252B03" w14:textId="77777777" w:rsidR="007F6B04" w:rsidRDefault="007F6B04" w:rsidP="00CF101C">
      <w:pPr>
        <w:spacing w:after="0" w:line="360" w:lineRule="auto"/>
        <w:ind w:left="709" w:hanging="709"/>
        <w:rPr>
          <w:rStyle w:val="Hyperlink"/>
          <w:rFonts w:ascii="Segoe UI" w:hAnsi="Segoe UI" w:cs="Segoe UI"/>
          <w:sz w:val="24"/>
          <w:szCs w:val="24"/>
        </w:rPr>
      </w:pPr>
    </w:p>
    <w:p w14:paraId="3AEC27E8" w14:textId="77777777" w:rsidR="007F6B04" w:rsidRDefault="007F6B04" w:rsidP="00895F4D">
      <w:r>
        <w:t>Metodika SÚKL SP-CAU-028</w:t>
      </w:r>
    </w:p>
    <w:p w14:paraId="10C3BFFB" w14:textId="77777777" w:rsidR="007F6B04" w:rsidRDefault="007F6B04" w:rsidP="00895F4D">
      <w:r>
        <w:t>Směrnice pro farmakoekonomická hodnocení v ČR ČFES</w:t>
      </w:r>
    </w:p>
    <w:p w14:paraId="40A8CBB6" w14:textId="77777777" w:rsidR="007F6B04" w:rsidRDefault="007F6B04" w:rsidP="00895F4D">
      <w:r>
        <w:t xml:space="preserve">Criteria fot he </w:t>
      </w:r>
      <w:proofErr w:type="spellStart"/>
      <w:r>
        <w:t>choice</w:t>
      </w:r>
      <w:proofErr w:type="spellEnd"/>
      <w:r>
        <w:t xml:space="preserve"> of the most </w:t>
      </w:r>
      <w:proofErr w:type="spellStart"/>
      <w:r>
        <w:t>appropriate</w:t>
      </w:r>
      <w:proofErr w:type="spellEnd"/>
      <w:r>
        <w:t xml:space="preserve"> </w:t>
      </w:r>
      <w:proofErr w:type="spellStart"/>
      <w:r>
        <w:t>comparator</w:t>
      </w:r>
      <w:proofErr w:type="spellEnd"/>
      <w:r>
        <w:t xml:space="preserve">(s), </w:t>
      </w:r>
      <w:proofErr w:type="spellStart"/>
      <w:r>
        <w:t>Summary</w:t>
      </w:r>
      <w:proofErr w:type="spellEnd"/>
      <w:r>
        <w:t xml:space="preserve"> of </w:t>
      </w:r>
      <w:proofErr w:type="spellStart"/>
      <w:r>
        <w:t>current</w:t>
      </w:r>
      <w:proofErr w:type="spellEnd"/>
      <w:r>
        <w:t xml:space="preserve"> </w:t>
      </w:r>
      <w:proofErr w:type="spellStart"/>
      <w:r>
        <w:t>policies</w:t>
      </w:r>
      <w:proofErr w:type="spellEnd"/>
      <w:r>
        <w:t xml:space="preserve"> and </w:t>
      </w:r>
      <w:proofErr w:type="spellStart"/>
      <w:r>
        <w:t>best</w:t>
      </w:r>
      <w:proofErr w:type="spellEnd"/>
      <w:r>
        <w:t xml:space="preserve"> </w:t>
      </w:r>
      <w:proofErr w:type="spellStart"/>
      <w:r>
        <w:t>practice</w:t>
      </w:r>
      <w:proofErr w:type="spellEnd"/>
      <w:r>
        <w:t xml:space="preserve"> </w:t>
      </w:r>
      <w:proofErr w:type="spellStart"/>
      <w:r>
        <w:t>recommendations</w:t>
      </w:r>
      <w:proofErr w:type="spellEnd"/>
      <w:r>
        <w:t xml:space="preserve">, </w:t>
      </w:r>
      <w:proofErr w:type="spellStart"/>
      <w:r>
        <w:t>February</w:t>
      </w:r>
      <w:proofErr w:type="spellEnd"/>
      <w:r>
        <w:t xml:space="preserve"> 2013, EUnetHTA</w:t>
      </w:r>
    </w:p>
    <w:p w14:paraId="269BE28E" w14:textId="77777777" w:rsidR="007F6B04" w:rsidRDefault="007F6B04" w:rsidP="00895F4D">
      <w:proofErr w:type="spellStart"/>
      <w:r>
        <w:t>Jansen</w:t>
      </w:r>
      <w:proofErr w:type="spellEnd"/>
      <w:r>
        <w:t xml:space="preserve"> JP, et al. </w:t>
      </w:r>
      <w:proofErr w:type="spellStart"/>
      <w:r>
        <w:t>Interpreting</w:t>
      </w:r>
      <w:proofErr w:type="spellEnd"/>
      <w:r>
        <w:t xml:space="preserve"> Indirect Treatment </w:t>
      </w:r>
      <w:proofErr w:type="spellStart"/>
      <w:r>
        <w:t>Comparisons</w:t>
      </w:r>
      <w:proofErr w:type="spellEnd"/>
      <w:r>
        <w:t xml:space="preserve"> and Network Meta-Analysis for Health-Care </w:t>
      </w:r>
      <w:proofErr w:type="spellStart"/>
      <w:r>
        <w:t>Decision</w:t>
      </w:r>
      <w:proofErr w:type="spellEnd"/>
      <w:r>
        <w:t xml:space="preserve"> </w:t>
      </w:r>
      <w:proofErr w:type="spellStart"/>
      <w:r>
        <w:t>Making</w:t>
      </w:r>
      <w:proofErr w:type="spellEnd"/>
      <w:r>
        <w:t xml:space="preserve">: Report of the ISPOR </w:t>
      </w:r>
      <w:proofErr w:type="spellStart"/>
      <w:r>
        <w:t>Task</w:t>
      </w:r>
      <w:proofErr w:type="spellEnd"/>
      <w:r>
        <w:t xml:space="preserve"> </w:t>
      </w:r>
      <w:proofErr w:type="spellStart"/>
      <w:r>
        <w:t>Force</w:t>
      </w:r>
      <w:proofErr w:type="spellEnd"/>
      <w:r>
        <w:t xml:space="preserve"> on Indirect Treatment </w:t>
      </w:r>
      <w:proofErr w:type="spellStart"/>
      <w:r>
        <w:t>Comparisons</w:t>
      </w:r>
      <w:proofErr w:type="spellEnd"/>
      <w:r>
        <w:t xml:space="preserve"> </w:t>
      </w:r>
      <w:proofErr w:type="spellStart"/>
      <w:r>
        <w:t>Good</w:t>
      </w:r>
      <w:proofErr w:type="spellEnd"/>
      <w:r>
        <w:t xml:space="preserve"> Research </w:t>
      </w:r>
      <w:proofErr w:type="spellStart"/>
      <w:r>
        <w:t>Practices</w:t>
      </w:r>
      <w:proofErr w:type="spellEnd"/>
      <w:r>
        <w:t>–Part 1. Value in Health: 14(2011): 417-428</w:t>
      </w:r>
    </w:p>
    <w:p w14:paraId="454F2878" w14:textId="77777777" w:rsidR="007F6B04" w:rsidRPr="00EF29A6" w:rsidRDefault="007F6B04" w:rsidP="00895F4D">
      <w:proofErr w:type="spellStart"/>
      <w:r>
        <w:t>Hoaglin</w:t>
      </w:r>
      <w:proofErr w:type="spellEnd"/>
      <w:r>
        <w:t xml:space="preserve"> DC, et al. </w:t>
      </w:r>
      <w:proofErr w:type="spellStart"/>
      <w:r>
        <w:t>Interpreting</w:t>
      </w:r>
      <w:proofErr w:type="spellEnd"/>
      <w:r>
        <w:t xml:space="preserve"> Indirect Treatment </w:t>
      </w:r>
      <w:proofErr w:type="spellStart"/>
      <w:r>
        <w:t>Comparisons</w:t>
      </w:r>
      <w:proofErr w:type="spellEnd"/>
      <w:r>
        <w:t xml:space="preserve"> and Network Meta-Analysis for Health-Care </w:t>
      </w:r>
      <w:proofErr w:type="spellStart"/>
      <w:r>
        <w:t>Decision</w:t>
      </w:r>
      <w:proofErr w:type="spellEnd"/>
      <w:r>
        <w:t xml:space="preserve"> </w:t>
      </w:r>
      <w:proofErr w:type="spellStart"/>
      <w:r>
        <w:t>Making</w:t>
      </w:r>
      <w:proofErr w:type="spellEnd"/>
      <w:r>
        <w:t xml:space="preserve">: Report of the ISPOR </w:t>
      </w:r>
      <w:proofErr w:type="spellStart"/>
      <w:r>
        <w:t>Task</w:t>
      </w:r>
      <w:proofErr w:type="spellEnd"/>
      <w:r>
        <w:t xml:space="preserve"> </w:t>
      </w:r>
      <w:proofErr w:type="spellStart"/>
      <w:r>
        <w:t>Force</w:t>
      </w:r>
      <w:proofErr w:type="spellEnd"/>
      <w:r>
        <w:t xml:space="preserve"> on Indirect Treatment </w:t>
      </w:r>
      <w:proofErr w:type="spellStart"/>
      <w:r>
        <w:t>Comparisons</w:t>
      </w:r>
      <w:proofErr w:type="spellEnd"/>
      <w:r>
        <w:t xml:space="preserve"> </w:t>
      </w:r>
      <w:proofErr w:type="spellStart"/>
      <w:r>
        <w:t>Good</w:t>
      </w:r>
      <w:proofErr w:type="spellEnd"/>
      <w:r>
        <w:t xml:space="preserve"> Research </w:t>
      </w:r>
      <w:proofErr w:type="spellStart"/>
      <w:r>
        <w:t>Practices</w:t>
      </w:r>
      <w:proofErr w:type="spellEnd"/>
      <w:r>
        <w:t>–Part 2. Value in Health: 14(2011): 429-437</w:t>
      </w:r>
    </w:p>
    <w:p w14:paraId="08D056FE" w14:textId="77777777" w:rsidR="007F6B04" w:rsidRDefault="007F6B04" w:rsidP="00895F4D">
      <w:r>
        <w:t xml:space="preserve">Methods </w:t>
      </w:r>
      <w:proofErr w:type="spellStart"/>
      <w:r>
        <w:t>Guide</w:t>
      </w:r>
      <w:proofErr w:type="spellEnd"/>
      <w:r>
        <w:t xml:space="preserve"> for Effectiveness and Comparative Effectiveness </w:t>
      </w:r>
      <w:proofErr w:type="spellStart"/>
      <w:r>
        <w:t>Reviews</w:t>
      </w:r>
      <w:proofErr w:type="spellEnd"/>
      <w:r>
        <w:t xml:space="preserve">, </w:t>
      </w:r>
      <w:proofErr w:type="spellStart"/>
      <w:r>
        <w:t>September</w:t>
      </w:r>
      <w:proofErr w:type="spellEnd"/>
      <w:r>
        <w:t xml:space="preserve"> 2013, </w:t>
      </w:r>
      <w:proofErr w:type="spellStart"/>
      <w:r>
        <w:t>Agency</w:t>
      </w:r>
      <w:proofErr w:type="spellEnd"/>
      <w:r>
        <w:t xml:space="preserve"> for </w:t>
      </w:r>
      <w:proofErr w:type="spellStart"/>
      <w:r>
        <w:t>Healthcare</w:t>
      </w:r>
      <w:proofErr w:type="spellEnd"/>
      <w:r>
        <w:t xml:space="preserve"> Research and Quality</w:t>
      </w:r>
    </w:p>
    <w:p w14:paraId="53B511D0" w14:textId="77777777" w:rsidR="007F6B04" w:rsidRDefault="007F6B04" w:rsidP="00173B5F">
      <w:r>
        <w:t>-</w:t>
      </w:r>
      <w:r>
        <w:tab/>
        <w:t xml:space="preserve">IQWiG General methods, </w:t>
      </w:r>
      <w:proofErr w:type="spellStart"/>
      <w:r>
        <w:t>German</w:t>
      </w:r>
      <w:proofErr w:type="spellEnd"/>
      <w:r>
        <w:t xml:space="preserve"> </w:t>
      </w:r>
      <w:proofErr w:type="spellStart"/>
      <w:r>
        <w:t>document</w:t>
      </w:r>
      <w:proofErr w:type="spellEnd"/>
      <w:r>
        <w:t xml:space="preserve"> “</w:t>
      </w:r>
      <w:proofErr w:type="spellStart"/>
      <w:r>
        <w:t>Allgemeine</w:t>
      </w:r>
      <w:proofErr w:type="spellEnd"/>
      <w:r>
        <w:t xml:space="preserve"> </w:t>
      </w:r>
      <w:proofErr w:type="spellStart"/>
      <w:r>
        <w:t>Methoden</w:t>
      </w:r>
      <w:proofErr w:type="spellEnd"/>
      <w:r>
        <w:t>”  (Version 4.1)  of 28 November 2013.</w:t>
      </w:r>
    </w:p>
    <w:p w14:paraId="64792D0B" w14:textId="77777777" w:rsidR="007F6B04" w:rsidRDefault="007F6B04" w:rsidP="00173B5F">
      <w:r>
        <w:t>-</w:t>
      </w:r>
      <w:r>
        <w:tab/>
      </w:r>
      <w:proofErr w:type="spellStart"/>
      <w:r>
        <w:t>Mirjam</w:t>
      </w:r>
      <w:proofErr w:type="spellEnd"/>
      <w:r>
        <w:t xml:space="preserve"> J. </w:t>
      </w:r>
      <w:proofErr w:type="spellStart"/>
      <w:r>
        <w:t>Knol</w:t>
      </w:r>
      <w:proofErr w:type="spellEnd"/>
      <w:r>
        <w:t xml:space="preserve">*, Ruben G. </w:t>
      </w:r>
      <w:proofErr w:type="spellStart"/>
      <w:r>
        <w:t>Duijnhoven</w:t>
      </w:r>
      <w:proofErr w:type="spellEnd"/>
      <w:r>
        <w:t xml:space="preserve">, </w:t>
      </w:r>
      <w:proofErr w:type="spellStart"/>
      <w:r>
        <w:t>Diederick</w:t>
      </w:r>
      <w:proofErr w:type="spellEnd"/>
      <w:r>
        <w:t xml:space="preserve"> E. et al. </w:t>
      </w:r>
      <w:proofErr w:type="spellStart"/>
      <w:r>
        <w:t>Potential</w:t>
      </w:r>
      <w:proofErr w:type="spellEnd"/>
      <w:r>
        <w:t xml:space="preserve"> </w:t>
      </w:r>
      <w:proofErr w:type="spellStart"/>
      <w:r>
        <w:t>Misinterpretation</w:t>
      </w:r>
      <w:proofErr w:type="spellEnd"/>
      <w:r>
        <w:t xml:space="preserve"> of Treatment </w:t>
      </w:r>
      <w:proofErr w:type="spellStart"/>
      <w:r>
        <w:t>Effects</w:t>
      </w:r>
      <w:proofErr w:type="spellEnd"/>
      <w:r>
        <w:t xml:space="preserve"> </w:t>
      </w:r>
      <w:proofErr w:type="spellStart"/>
      <w:r>
        <w:t>Due</w:t>
      </w:r>
      <w:proofErr w:type="spellEnd"/>
      <w:r>
        <w:t xml:space="preserve"> to Use of Odds </w:t>
      </w:r>
      <w:proofErr w:type="spellStart"/>
      <w:r>
        <w:t>Ratios</w:t>
      </w:r>
      <w:proofErr w:type="spellEnd"/>
      <w:r>
        <w:t xml:space="preserve"> and </w:t>
      </w:r>
      <w:proofErr w:type="spellStart"/>
      <w:r>
        <w:t>Logistic</w:t>
      </w:r>
      <w:proofErr w:type="spellEnd"/>
      <w:r>
        <w:t xml:space="preserve"> </w:t>
      </w:r>
      <w:proofErr w:type="spellStart"/>
      <w:r>
        <w:t>Regression</w:t>
      </w:r>
      <w:proofErr w:type="spellEnd"/>
      <w:r>
        <w:t xml:space="preserve"> in </w:t>
      </w:r>
      <w:proofErr w:type="spellStart"/>
      <w:r>
        <w:t>Randomized</w:t>
      </w:r>
      <w:proofErr w:type="spellEnd"/>
      <w:r>
        <w:t xml:space="preserve"> </w:t>
      </w:r>
      <w:proofErr w:type="spellStart"/>
      <w:r>
        <w:t>Controlled</w:t>
      </w:r>
      <w:proofErr w:type="spellEnd"/>
      <w:r>
        <w:t xml:space="preserve"> </w:t>
      </w:r>
      <w:proofErr w:type="spellStart"/>
      <w:r>
        <w:t>Trials</w:t>
      </w:r>
      <w:proofErr w:type="spellEnd"/>
      <w:r>
        <w:t xml:space="preserve">. PLOS </w:t>
      </w:r>
      <w:proofErr w:type="spellStart"/>
      <w:r>
        <w:t>one</w:t>
      </w:r>
      <w:proofErr w:type="spellEnd"/>
      <w:r>
        <w:t xml:space="preserve">, June 2011 | </w:t>
      </w:r>
      <w:proofErr w:type="spellStart"/>
      <w:r>
        <w:t>Volume</w:t>
      </w:r>
      <w:proofErr w:type="spellEnd"/>
      <w:r>
        <w:t xml:space="preserve"> 6 | </w:t>
      </w:r>
      <w:proofErr w:type="spellStart"/>
      <w:r>
        <w:t>Issue</w:t>
      </w:r>
      <w:proofErr w:type="spellEnd"/>
      <w:r>
        <w:t xml:space="preserve"> 6 | e21248.</w:t>
      </w:r>
    </w:p>
    <w:p w14:paraId="17C1E44D" w14:textId="77777777" w:rsidR="007F6B04" w:rsidRDefault="007F6B04" w:rsidP="00173B5F">
      <w:r>
        <w:t>-</w:t>
      </w:r>
      <w:r>
        <w:tab/>
        <w:t xml:space="preserve">OUTPUTS AND UTILITY, </w:t>
      </w:r>
      <w:proofErr w:type="spellStart"/>
      <w:r>
        <w:t>Trials</w:t>
      </w:r>
      <w:proofErr w:type="spellEnd"/>
      <w:r>
        <w:t xml:space="preserve"> and </w:t>
      </w:r>
      <w:proofErr w:type="spellStart"/>
      <w:r>
        <w:t>systematic</w:t>
      </w:r>
      <w:proofErr w:type="spellEnd"/>
      <w:r>
        <w:t xml:space="preserve"> </w:t>
      </w:r>
      <w:proofErr w:type="spellStart"/>
      <w:r>
        <w:t>reviews</w:t>
      </w:r>
      <w:proofErr w:type="spellEnd"/>
      <w:r>
        <w:t xml:space="preserve">, </w:t>
      </w:r>
      <w:proofErr w:type="spellStart"/>
      <w:r>
        <w:t>Bandolier</w:t>
      </w:r>
      <w:proofErr w:type="spellEnd"/>
      <w:r>
        <w:t xml:space="preserve"> Professional, November 2002.</w:t>
      </w:r>
    </w:p>
    <w:p w14:paraId="046027A2" w14:textId="77777777" w:rsidR="007F6B04" w:rsidRDefault="007F6B04" w:rsidP="00173B5F">
      <w:r>
        <w:t>-</w:t>
      </w:r>
      <w:r>
        <w:tab/>
        <w:t xml:space="preserve">Matthias </w:t>
      </w:r>
      <w:proofErr w:type="spellStart"/>
      <w:r>
        <w:t>Egger</w:t>
      </w:r>
      <w:proofErr w:type="spellEnd"/>
      <w:r>
        <w:t xml:space="preserve">, George </w:t>
      </w:r>
      <w:proofErr w:type="spellStart"/>
      <w:r>
        <w:t>Davey</w:t>
      </w:r>
      <w:proofErr w:type="spellEnd"/>
      <w:r>
        <w:t xml:space="preserve"> Smith, Andrew N </w:t>
      </w:r>
      <w:proofErr w:type="spellStart"/>
      <w:r>
        <w:t>Phillips</w:t>
      </w:r>
      <w:proofErr w:type="spellEnd"/>
      <w:r>
        <w:t xml:space="preserve">. </w:t>
      </w:r>
      <w:proofErr w:type="spellStart"/>
      <w:r>
        <w:t>Meta­analysis</w:t>
      </w:r>
      <w:proofErr w:type="spellEnd"/>
      <w:r>
        <w:t xml:space="preserve">: </w:t>
      </w:r>
      <w:proofErr w:type="spellStart"/>
      <w:r>
        <w:t>Principles</w:t>
      </w:r>
      <w:proofErr w:type="spellEnd"/>
      <w:r>
        <w:t xml:space="preserve"> and </w:t>
      </w:r>
      <w:proofErr w:type="spellStart"/>
      <w:r>
        <w:t>procedures</w:t>
      </w:r>
      <w:proofErr w:type="spellEnd"/>
      <w:r>
        <w:t>, BMJ1997;315:1533–7.</w:t>
      </w:r>
    </w:p>
    <w:p w14:paraId="58EB92C4" w14:textId="77777777" w:rsidR="007F6B04" w:rsidRDefault="007F6B04" w:rsidP="00CF101C">
      <w:pPr>
        <w:pStyle w:val="EndnoteText"/>
        <w:spacing w:line="360" w:lineRule="auto"/>
        <w:ind w:left="709" w:hanging="709"/>
        <w:rPr>
          <w:rFonts w:ascii="Segoe UI" w:hAnsi="Segoe UI" w:cs="Segoe UI"/>
        </w:rPr>
      </w:pPr>
    </w:p>
    <w:p w14:paraId="606A5DF1" w14:textId="77777777" w:rsidR="007F6B04" w:rsidRPr="00E60A50" w:rsidRDefault="007F6B04" w:rsidP="00CF101C">
      <w:pPr>
        <w:pStyle w:val="EndnoteText"/>
        <w:spacing w:line="360" w:lineRule="auto"/>
        <w:ind w:left="709" w:hanging="709"/>
        <w:rPr>
          <w:rFonts w:ascii="Segoe UI" w:hAnsi="Segoe UI" w:cs="Segoe U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Segoe UI">
    <w:altName w:val="Calibri"/>
    <w:charset w:val="EE"/>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BDFAE" w14:textId="77777777" w:rsidR="007F6B04" w:rsidRDefault="007F6B04" w:rsidP="00B65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9D0D" w14:textId="77777777" w:rsidR="007F6B04" w:rsidRDefault="007F6B04" w:rsidP="00990A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F32C9" w14:textId="77777777" w:rsidR="007F6B04" w:rsidRDefault="007F6B04" w:rsidP="00B65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14B3">
      <w:rPr>
        <w:rStyle w:val="PageNumber"/>
        <w:noProof/>
      </w:rPr>
      <w:t>1</w:t>
    </w:r>
    <w:r>
      <w:rPr>
        <w:rStyle w:val="PageNumber"/>
      </w:rPr>
      <w:fldChar w:fldCharType="end"/>
    </w:r>
  </w:p>
  <w:p w14:paraId="2ECC622D" w14:textId="77777777" w:rsidR="007F6B04" w:rsidRDefault="007F6B04" w:rsidP="00990A2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591D0" w14:textId="77777777" w:rsidR="00220D30" w:rsidRDefault="00220D30" w:rsidP="003D7B90">
      <w:pPr>
        <w:spacing w:after="0" w:line="240" w:lineRule="auto"/>
      </w:pPr>
      <w:r>
        <w:separator/>
      </w:r>
    </w:p>
  </w:footnote>
  <w:footnote w:type="continuationSeparator" w:id="0">
    <w:p w14:paraId="47AEA37A" w14:textId="77777777" w:rsidR="00220D30" w:rsidRDefault="00220D30" w:rsidP="003D7B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D3C"/>
    <w:multiLevelType w:val="hybridMultilevel"/>
    <w:tmpl w:val="0EBE084E"/>
    <w:lvl w:ilvl="0" w:tplc="235C0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A545D"/>
    <w:multiLevelType w:val="hybridMultilevel"/>
    <w:tmpl w:val="5F384D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FF018E"/>
    <w:multiLevelType w:val="hybridMultilevel"/>
    <w:tmpl w:val="A37A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33224"/>
    <w:multiLevelType w:val="hybridMultilevel"/>
    <w:tmpl w:val="081A5196"/>
    <w:lvl w:ilvl="0" w:tplc="235C088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13C40"/>
    <w:multiLevelType w:val="hybridMultilevel"/>
    <w:tmpl w:val="52F8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B2E6D"/>
    <w:multiLevelType w:val="hybridMultilevel"/>
    <w:tmpl w:val="9A8EBC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0B5CC7"/>
    <w:multiLevelType w:val="hybridMultilevel"/>
    <w:tmpl w:val="27809E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E7187"/>
    <w:multiLevelType w:val="hybridMultilevel"/>
    <w:tmpl w:val="A9EA2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DF57A6E"/>
    <w:multiLevelType w:val="hybridMultilevel"/>
    <w:tmpl w:val="EB0EF6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E637AE9"/>
    <w:multiLevelType w:val="hybridMultilevel"/>
    <w:tmpl w:val="E5207B50"/>
    <w:lvl w:ilvl="0" w:tplc="8B38731A">
      <w:start w:val="1"/>
      <w:numFmt w:val="bullet"/>
      <w:lvlText w:val="−"/>
      <w:lvlJc w:val="left"/>
      <w:pPr>
        <w:ind w:left="720" w:hanging="360"/>
      </w:pPr>
      <w:rPr>
        <w:rFonts w:ascii="Segoe UI" w:hAnsi="Segoe UI" w:hint="default"/>
      </w:rPr>
    </w:lvl>
    <w:lvl w:ilvl="1" w:tplc="8730D19C">
      <w:numFmt w:val="bullet"/>
      <w:lvlText w:val="-"/>
      <w:lvlJc w:val="left"/>
      <w:pPr>
        <w:ind w:left="1440" w:hanging="360"/>
      </w:pPr>
      <w:rPr>
        <w:rFonts w:ascii="Segoe UI" w:eastAsiaTheme="minorHAnsi" w:hAnsi="Segoe UI" w:cs="Segoe U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0B038A2"/>
    <w:multiLevelType w:val="hybridMultilevel"/>
    <w:tmpl w:val="83C80126"/>
    <w:lvl w:ilvl="0" w:tplc="CCF8BE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2D1B75"/>
    <w:multiLevelType w:val="hybridMultilevel"/>
    <w:tmpl w:val="132CC2CA"/>
    <w:lvl w:ilvl="0" w:tplc="ED764CAE">
      <w:start w:val="1"/>
      <w:numFmt w:val="upperLetter"/>
      <w:lvlText w:val="%1)"/>
      <w:lvlJc w:val="left"/>
      <w:pPr>
        <w:ind w:left="720" w:hanging="360"/>
      </w:pPr>
      <w:rPr>
        <w:rFonts w:ascii="Calibri" w:hAnsi="Calibr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34415"/>
    <w:multiLevelType w:val="hybridMultilevel"/>
    <w:tmpl w:val="217E357C"/>
    <w:lvl w:ilvl="0" w:tplc="56BE208C">
      <w:start w:val="8"/>
      <w:numFmt w:val="bullet"/>
      <w:lvlText w:val="-"/>
      <w:lvlJc w:val="left"/>
      <w:pPr>
        <w:ind w:left="720" w:hanging="360"/>
      </w:pPr>
      <w:rPr>
        <w:rFonts w:ascii="Segoe UI" w:eastAsiaTheme="minorHAnsi"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8FE31C8"/>
    <w:multiLevelType w:val="hybridMultilevel"/>
    <w:tmpl w:val="F14C9B92"/>
    <w:lvl w:ilvl="0" w:tplc="235C0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44213F"/>
    <w:multiLevelType w:val="hybridMultilevel"/>
    <w:tmpl w:val="66D2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810F8"/>
    <w:multiLevelType w:val="hybridMultilevel"/>
    <w:tmpl w:val="694C2710"/>
    <w:lvl w:ilvl="0" w:tplc="ED764CAE">
      <w:start w:val="1"/>
      <w:numFmt w:val="upperLetter"/>
      <w:lvlText w:val="%1)"/>
      <w:lvlJc w:val="left"/>
      <w:pPr>
        <w:ind w:left="720" w:hanging="360"/>
      </w:pPr>
      <w:rPr>
        <w:rFonts w:ascii="Calibri" w:hAnsi="Calibri" w:hint="default"/>
        <w:sz w:val="24"/>
        <w:szCs w:val="24"/>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806A2"/>
    <w:multiLevelType w:val="hybridMultilevel"/>
    <w:tmpl w:val="457C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C2B4E"/>
    <w:multiLevelType w:val="hybridMultilevel"/>
    <w:tmpl w:val="106C85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A639A6"/>
    <w:multiLevelType w:val="hybridMultilevel"/>
    <w:tmpl w:val="CEFE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D77FB9"/>
    <w:multiLevelType w:val="hybridMultilevel"/>
    <w:tmpl w:val="4E9AEB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A706F97"/>
    <w:multiLevelType w:val="hybridMultilevel"/>
    <w:tmpl w:val="90C6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251DB5"/>
    <w:multiLevelType w:val="hybridMultilevel"/>
    <w:tmpl w:val="A93E405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nsid w:val="4EC8257F"/>
    <w:multiLevelType w:val="hybridMultilevel"/>
    <w:tmpl w:val="75247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BF604E"/>
    <w:multiLevelType w:val="hybridMultilevel"/>
    <w:tmpl w:val="BE3C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9371DB"/>
    <w:multiLevelType w:val="hybridMultilevel"/>
    <w:tmpl w:val="6116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2D3308"/>
    <w:multiLevelType w:val="hybridMultilevel"/>
    <w:tmpl w:val="F3C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B26402"/>
    <w:multiLevelType w:val="hybridMultilevel"/>
    <w:tmpl w:val="F3328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3601D5F"/>
    <w:multiLevelType w:val="hybridMultilevel"/>
    <w:tmpl w:val="E37CD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3F61507"/>
    <w:multiLevelType w:val="hybridMultilevel"/>
    <w:tmpl w:val="D7440A96"/>
    <w:lvl w:ilvl="0" w:tplc="8BB0733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68654997"/>
    <w:multiLevelType w:val="hybridMultilevel"/>
    <w:tmpl w:val="D018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305AA6"/>
    <w:multiLevelType w:val="hybridMultilevel"/>
    <w:tmpl w:val="9BFA583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nsid w:val="6C3910B1"/>
    <w:multiLevelType w:val="hybridMultilevel"/>
    <w:tmpl w:val="3704DE4C"/>
    <w:lvl w:ilvl="0" w:tplc="8B38731A">
      <w:start w:val="1"/>
      <w:numFmt w:val="bullet"/>
      <w:lvlText w:val="−"/>
      <w:lvlJc w:val="left"/>
      <w:pPr>
        <w:ind w:left="720"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FF2EE0"/>
    <w:multiLevelType w:val="hybridMultilevel"/>
    <w:tmpl w:val="E260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262666F"/>
    <w:multiLevelType w:val="hybridMultilevel"/>
    <w:tmpl w:val="0E8C9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CBE598D"/>
    <w:multiLevelType w:val="hybridMultilevel"/>
    <w:tmpl w:val="3E546E0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2"/>
  </w:num>
  <w:num w:numId="8">
    <w:abstractNumId w:val="27"/>
  </w:num>
  <w:num w:numId="9">
    <w:abstractNumId w:val="26"/>
  </w:num>
  <w:num w:numId="10">
    <w:abstractNumId w:val="6"/>
  </w:num>
  <w:num w:numId="11">
    <w:abstractNumId w:val="28"/>
  </w:num>
  <w:num w:numId="12">
    <w:abstractNumId w:val="9"/>
  </w:num>
  <w:num w:numId="13">
    <w:abstractNumId w:val="31"/>
  </w:num>
  <w:num w:numId="14">
    <w:abstractNumId w:val="1"/>
  </w:num>
  <w:num w:numId="15">
    <w:abstractNumId w:val="19"/>
  </w:num>
  <w:num w:numId="16">
    <w:abstractNumId w:val="12"/>
  </w:num>
  <w:num w:numId="17">
    <w:abstractNumId w:val="8"/>
  </w:num>
  <w:num w:numId="18">
    <w:abstractNumId w:val="4"/>
  </w:num>
  <w:num w:numId="19">
    <w:abstractNumId w:val="25"/>
  </w:num>
  <w:num w:numId="20">
    <w:abstractNumId w:val="3"/>
  </w:num>
  <w:num w:numId="21">
    <w:abstractNumId w:val="21"/>
  </w:num>
  <w:num w:numId="22">
    <w:abstractNumId w:val="0"/>
  </w:num>
  <w:num w:numId="23">
    <w:abstractNumId w:val="30"/>
  </w:num>
  <w:num w:numId="24">
    <w:abstractNumId w:val="11"/>
  </w:num>
  <w:num w:numId="25">
    <w:abstractNumId w:val="15"/>
  </w:num>
  <w:num w:numId="26">
    <w:abstractNumId w:val="10"/>
  </w:num>
  <w:num w:numId="27">
    <w:abstractNumId w:val="24"/>
  </w:num>
  <w:num w:numId="28">
    <w:abstractNumId w:val="2"/>
  </w:num>
  <w:num w:numId="29">
    <w:abstractNumId w:val="20"/>
  </w:num>
  <w:num w:numId="30">
    <w:abstractNumId w:val="14"/>
  </w:num>
  <w:num w:numId="31">
    <w:abstractNumId w:val="23"/>
  </w:num>
  <w:num w:numId="32">
    <w:abstractNumId w:val="16"/>
  </w:num>
  <w:num w:numId="33">
    <w:abstractNumId w:val="13"/>
  </w:num>
  <w:num w:numId="34">
    <w:abstractNumId w:val="18"/>
  </w:num>
  <w:num w:numId="35">
    <w:abstractNumId w:val="29"/>
  </w:num>
  <w:num w:numId="3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kpad">
    <w15:presenceInfo w15:providerId="None" w15:userId="thi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1F"/>
    <w:rsid w:val="000365C1"/>
    <w:rsid w:val="00037850"/>
    <w:rsid w:val="0007402A"/>
    <w:rsid w:val="00155249"/>
    <w:rsid w:val="001725A7"/>
    <w:rsid w:val="00173B5F"/>
    <w:rsid w:val="00177B09"/>
    <w:rsid w:val="001817C9"/>
    <w:rsid w:val="001A55AE"/>
    <w:rsid w:val="001B1C8D"/>
    <w:rsid w:val="001E6C2C"/>
    <w:rsid w:val="00220D30"/>
    <w:rsid w:val="00224735"/>
    <w:rsid w:val="00234CDF"/>
    <w:rsid w:val="002968BD"/>
    <w:rsid w:val="002C20D4"/>
    <w:rsid w:val="00344500"/>
    <w:rsid w:val="00345B2D"/>
    <w:rsid w:val="00346427"/>
    <w:rsid w:val="00384D72"/>
    <w:rsid w:val="003D7B90"/>
    <w:rsid w:val="00400C00"/>
    <w:rsid w:val="00414DA4"/>
    <w:rsid w:val="00476B0E"/>
    <w:rsid w:val="00476BBF"/>
    <w:rsid w:val="004B0842"/>
    <w:rsid w:val="004C0485"/>
    <w:rsid w:val="004D7208"/>
    <w:rsid w:val="004E06C8"/>
    <w:rsid w:val="004E72CF"/>
    <w:rsid w:val="00521E98"/>
    <w:rsid w:val="005C48B0"/>
    <w:rsid w:val="005D1486"/>
    <w:rsid w:val="0061081B"/>
    <w:rsid w:val="00685422"/>
    <w:rsid w:val="0069474C"/>
    <w:rsid w:val="006A6BD8"/>
    <w:rsid w:val="006A6EBC"/>
    <w:rsid w:val="006E1D73"/>
    <w:rsid w:val="00737F58"/>
    <w:rsid w:val="007714B3"/>
    <w:rsid w:val="0077412A"/>
    <w:rsid w:val="0079235C"/>
    <w:rsid w:val="00797ABB"/>
    <w:rsid w:val="007E0EA7"/>
    <w:rsid w:val="007F6B04"/>
    <w:rsid w:val="00817C33"/>
    <w:rsid w:val="008354FC"/>
    <w:rsid w:val="00867C81"/>
    <w:rsid w:val="00892AE7"/>
    <w:rsid w:val="00895F4D"/>
    <w:rsid w:val="008A3BB9"/>
    <w:rsid w:val="008C4ECE"/>
    <w:rsid w:val="008D65FF"/>
    <w:rsid w:val="008E4BC3"/>
    <w:rsid w:val="00907CDF"/>
    <w:rsid w:val="00913A68"/>
    <w:rsid w:val="0092701F"/>
    <w:rsid w:val="00990A2D"/>
    <w:rsid w:val="009A5E75"/>
    <w:rsid w:val="00A757ED"/>
    <w:rsid w:val="00AB199E"/>
    <w:rsid w:val="00AD1993"/>
    <w:rsid w:val="00AD1E8B"/>
    <w:rsid w:val="00AD4BD7"/>
    <w:rsid w:val="00B32807"/>
    <w:rsid w:val="00B54C03"/>
    <w:rsid w:val="00B60021"/>
    <w:rsid w:val="00B626FD"/>
    <w:rsid w:val="00B65450"/>
    <w:rsid w:val="00B977C0"/>
    <w:rsid w:val="00BB1FEC"/>
    <w:rsid w:val="00C01434"/>
    <w:rsid w:val="00C324B9"/>
    <w:rsid w:val="00C5543A"/>
    <w:rsid w:val="00C7566D"/>
    <w:rsid w:val="00CB53BA"/>
    <w:rsid w:val="00CE3EB4"/>
    <w:rsid w:val="00CF101C"/>
    <w:rsid w:val="00D260DB"/>
    <w:rsid w:val="00D66A6B"/>
    <w:rsid w:val="00D7380B"/>
    <w:rsid w:val="00D773A0"/>
    <w:rsid w:val="00DB5847"/>
    <w:rsid w:val="00DD567F"/>
    <w:rsid w:val="00E2418B"/>
    <w:rsid w:val="00E3647A"/>
    <w:rsid w:val="00E54B8B"/>
    <w:rsid w:val="00E76EF5"/>
    <w:rsid w:val="00EC5031"/>
    <w:rsid w:val="00ED496E"/>
    <w:rsid w:val="00EF426D"/>
    <w:rsid w:val="00EF5B0F"/>
    <w:rsid w:val="00F2206A"/>
    <w:rsid w:val="00F251D7"/>
    <w:rsid w:val="00F77D82"/>
    <w:rsid w:val="00F95400"/>
    <w:rsid w:val="00FB3AC7"/>
    <w:rsid w:val="00FC0851"/>
    <w:rsid w:val="00FC6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7F7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49"/>
  </w:style>
  <w:style w:type="paragraph" w:styleId="Heading1">
    <w:name w:val="heading 1"/>
    <w:basedOn w:val="Normal"/>
    <w:next w:val="Normal"/>
    <w:link w:val="Heading1Char"/>
    <w:uiPriority w:val="9"/>
    <w:qFormat/>
    <w:rsid w:val="00F77D82"/>
    <w:pPr>
      <w:keepNext/>
      <w:keepLines/>
      <w:spacing w:before="480" w:after="0"/>
      <w:jc w:val="both"/>
      <w:outlineLvl w:val="0"/>
    </w:pPr>
    <w:rPr>
      <w:rFonts w:ascii="Segoe UI" w:eastAsiaTheme="majorEastAsia" w:hAnsi="Segoe U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D82"/>
    <w:pPr>
      <w:keepNext/>
      <w:keepLines/>
      <w:spacing w:before="200" w:after="0"/>
      <w:jc w:val="both"/>
      <w:outlineLvl w:val="1"/>
    </w:pPr>
    <w:rPr>
      <w:rFonts w:ascii="Segoe UI" w:eastAsiaTheme="majorEastAsia" w:hAnsi="Segoe UI" w:cstheme="majorBidi"/>
      <w:b/>
      <w:bCs/>
      <w:color w:val="1F497D" w:themeColor="tex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1F"/>
    <w:pPr>
      <w:ind w:left="720"/>
      <w:contextualSpacing/>
    </w:pPr>
  </w:style>
  <w:style w:type="character" w:styleId="Hyperlink">
    <w:name w:val="Hyperlink"/>
    <w:basedOn w:val="DefaultParagraphFont"/>
    <w:uiPriority w:val="99"/>
    <w:unhideWhenUsed/>
    <w:rsid w:val="003D7B90"/>
    <w:rPr>
      <w:color w:val="0000FF" w:themeColor="hyperlink"/>
      <w:u w:val="single"/>
    </w:rPr>
  </w:style>
  <w:style w:type="paragraph" w:styleId="EndnoteText">
    <w:name w:val="endnote text"/>
    <w:basedOn w:val="Normal"/>
    <w:link w:val="EndnoteTextChar"/>
    <w:uiPriority w:val="99"/>
    <w:semiHidden/>
    <w:unhideWhenUsed/>
    <w:rsid w:val="003D7B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7B90"/>
    <w:rPr>
      <w:sz w:val="20"/>
      <w:szCs w:val="20"/>
    </w:rPr>
  </w:style>
  <w:style w:type="character" w:styleId="EndnoteReference">
    <w:name w:val="endnote reference"/>
    <w:basedOn w:val="DefaultParagraphFont"/>
    <w:uiPriority w:val="99"/>
    <w:semiHidden/>
    <w:unhideWhenUsed/>
    <w:rsid w:val="003D7B90"/>
    <w:rPr>
      <w:vertAlign w:val="superscript"/>
    </w:rPr>
  </w:style>
  <w:style w:type="table" w:styleId="TableGrid">
    <w:name w:val="Table Grid"/>
    <w:basedOn w:val="TableNormal"/>
    <w:uiPriority w:val="59"/>
    <w:rsid w:val="003D7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D7B9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D7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B90"/>
    <w:rPr>
      <w:rFonts w:ascii="Tahoma" w:hAnsi="Tahoma" w:cs="Tahoma"/>
      <w:sz w:val="16"/>
      <w:szCs w:val="16"/>
    </w:rPr>
  </w:style>
  <w:style w:type="character" w:styleId="CommentReference">
    <w:name w:val="annotation reference"/>
    <w:basedOn w:val="DefaultParagraphFont"/>
    <w:uiPriority w:val="99"/>
    <w:semiHidden/>
    <w:unhideWhenUsed/>
    <w:rsid w:val="008A3BB9"/>
    <w:rPr>
      <w:sz w:val="16"/>
      <w:szCs w:val="16"/>
    </w:rPr>
  </w:style>
  <w:style w:type="paragraph" w:styleId="CommentText">
    <w:name w:val="annotation text"/>
    <w:basedOn w:val="Normal"/>
    <w:link w:val="CommentTextChar"/>
    <w:uiPriority w:val="99"/>
    <w:semiHidden/>
    <w:unhideWhenUsed/>
    <w:rsid w:val="008A3BB9"/>
    <w:pPr>
      <w:spacing w:line="240" w:lineRule="auto"/>
    </w:pPr>
    <w:rPr>
      <w:sz w:val="20"/>
      <w:szCs w:val="20"/>
    </w:rPr>
  </w:style>
  <w:style w:type="character" w:customStyle="1" w:styleId="CommentTextChar">
    <w:name w:val="Comment Text Char"/>
    <w:basedOn w:val="DefaultParagraphFont"/>
    <w:link w:val="CommentText"/>
    <w:uiPriority w:val="99"/>
    <w:semiHidden/>
    <w:rsid w:val="008A3BB9"/>
    <w:rPr>
      <w:sz w:val="20"/>
      <w:szCs w:val="20"/>
    </w:rPr>
  </w:style>
  <w:style w:type="paragraph" w:styleId="CommentSubject">
    <w:name w:val="annotation subject"/>
    <w:basedOn w:val="CommentText"/>
    <w:next w:val="CommentText"/>
    <w:link w:val="CommentSubjectChar"/>
    <w:uiPriority w:val="99"/>
    <w:semiHidden/>
    <w:unhideWhenUsed/>
    <w:rsid w:val="008A3BB9"/>
    <w:rPr>
      <w:b/>
      <w:bCs/>
    </w:rPr>
  </w:style>
  <w:style w:type="character" w:customStyle="1" w:styleId="CommentSubjectChar">
    <w:name w:val="Comment Subject Char"/>
    <w:basedOn w:val="CommentTextChar"/>
    <w:link w:val="CommentSubject"/>
    <w:uiPriority w:val="99"/>
    <w:semiHidden/>
    <w:rsid w:val="008A3BB9"/>
    <w:rPr>
      <w:b/>
      <w:bCs/>
      <w:sz w:val="20"/>
      <w:szCs w:val="20"/>
    </w:rPr>
  </w:style>
  <w:style w:type="paragraph" w:styleId="Revision">
    <w:name w:val="Revision"/>
    <w:hidden/>
    <w:uiPriority w:val="99"/>
    <w:semiHidden/>
    <w:rsid w:val="008A3BB9"/>
    <w:pPr>
      <w:spacing w:after="0" w:line="240" w:lineRule="auto"/>
    </w:pPr>
  </w:style>
  <w:style w:type="paragraph" w:styleId="Footer">
    <w:name w:val="footer"/>
    <w:basedOn w:val="Normal"/>
    <w:link w:val="FooterChar"/>
    <w:uiPriority w:val="99"/>
    <w:unhideWhenUsed/>
    <w:rsid w:val="00990A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0A2D"/>
  </w:style>
  <w:style w:type="character" w:styleId="PageNumber">
    <w:name w:val="page number"/>
    <w:basedOn w:val="DefaultParagraphFont"/>
    <w:uiPriority w:val="99"/>
    <w:semiHidden/>
    <w:unhideWhenUsed/>
    <w:rsid w:val="00990A2D"/>
  </w:style>
  <w:style w:type="character" w:customStyle="1" w:styleId="Heading1Char">
    <w:name w:val="Heading 1 Char"/>
    <w:basedOn w:val="DefaultParagraphFont"/>
    <w:link w:val="Heading1"/>
    <w:uiPriority w:val="9"/>
    <w:rsid w:val="00F77D82"/>
    <w:rPr>
      <w:rFonts w:ascii="Segoe UI" w:eastAsiaTheme="majorEastAsia" w:hAnsi="Segoe U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7D82"/>
    <w:rPr>
      <w:rFonts w:ascii="Segoe UI" w:eastAsiaTheme="majorEastAsia" w:hAnsi="Segoe UI" w:cstheme="majorBidi"/>
      <w:b/>
      <w:bCs/>
      <w:color w:val="1F497D" w:themeColor="text2"/>
      <w:sz w:val="24"/>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49"/>
  </w:style>
  <w:style w:type="paragraph" w:styleId="Heading1">
    <w:name w:val="heading 1"/>
    <w:basedOn w:val="Normal"/>
    <w:next w:val="Normal"/>
    <w:link w:val="Heading1Char"/>
    <w:uiPriority w:val="9"/>
    <w:qFormat/>
    <w:rsid w:val="00F77D82"/>
    <w:pPr>
      <w:keepNext/>
      <w:keepLines/>
      <w:spacing w:before="480" w:after="0"/>
      <w:jc w:val="both"/>
      <w:outlineLvl w:val="0"/>
    </w:pPr>
    <w:rPr>
      <w:rFonts w:ascii="Segoe UI" w:eastAsiaTheme="majorEastAsia" w:hAnsi="Segoe U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D82"/>
    <w:pPr>
      <w:keepNext/>
      <w:keepLines/>
      <w:spacing w:before="200" w:after="0"/>
      <w:jc w:val="both"/>
      <w:outlineLvl w:val="1"/>
    </w:pPr>
    <w:rPr>
      <w:rFonts w:ascii="Segoe UI" w:eastAsiaTheme="majorEastAsia" w:hAnsi="Segoe UI" w:cstheme="majorBidi"/>
      <w:b/>
      <w:bCs/>
      <w:color w:val="1F497D" w:themeColor="tex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1F"/>
    <w:pPr>
      <w:ind w:left="720"/>
      <w:contextualSpacing/>
    </w:pPr>
  </w:style>
  <w:style w:type="character" w:styleId="Hyperlink">
    <w:name w:val="Hyperlink"/>
    <w:basedOn w:val="DefaultParagraphFont"/>
    <w:uiPriority w:val="99"/>
    <w:unhideWhenUsed/>
    <w:rsid w:val="003D7B90"/>
    <w:rPr>
      <w:color w:val="0000FF" w:themeColor="hyperlink"/>
      <w:u w:val="single"/>
    </w:rPr>
  </w:style>
  <w:style w:type="paragraph" w:styleId="EndnoteText">
    <w:name w:val="endnote text"/>
    <w:basedOn w:val="Normal"/>
    <w:link w:val="EndnoteTextChar"/>
    <w:uiPriority w:val="99"/>
    <w:semiHidden/>
    <w:unhideWhenUsed/>
    <w:rsid w:val="003D7B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7B90"/>
    <w:rPr>
      <w:sz w:val="20"/>
      <w:szCs w:val="20"/>
    </w:rPr>
  </w:style>
  <w:style w:type="character" w:styleId="EndnoteReference">
    <w:name w:val="endnote reference"/>
    <w:basedOn w:val="DefaultParagraphFont"/>
    <w:uiPriority w:val="99"/>
    <w:semiHidden/>
    <w:unhideWhenUsed/>
    <w:rsid w:val="003D7B90"/>
    <w:rPr>
      <w:vertAlign w:val="superscript"/>
    </w:rPr>
  </w:style>
  <w:style w:type="table" w:styleId="TableGrid">
    <w:name w:val="Table Grid"/>
    <w:basedOn w:val="TableNormal"/>
    <w:uiPriority w:val="59"/>
    <w:rsid w:val="003D7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D7B9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D7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B90"/>
    <w:rPr>
      <w:rFonts w:ascii="Tahoma" w:hAnsi="Tahoma" w:cs="Tahoma"/>
      <w:sz w:val="16"/>
      <w:szCs w:val="16"/>
    </w:rPr>
  </w:style>
  <w:style w:type="character" w:styleId="CommentReference">
    <w:name w:val="annotation reference"/>
    <w:basedOn w:val="DefaultParagraphFont"/>
    <w:uiPriority w:val="99"/>
    <w:semiHidden/>
    <w:unhideWhenUsed/>
    <w:rsid w:val="008A3BB9"/>
    <w:rPr>
      <w:sz w:val="16"/>
      <w:szCs w:val="16"/>
    </w:rPr>
  </w:style>
  <w:style w:type="paragraph" w:styleId="CommentText">
    <w:name w:val="annotation text"/>
    <w:basedOn w:val="Normal"/>
    <w:link w:val="CommentTextChar"/>
    <w:uiPriority w:val="99"/>
    <w:semiHidden/>
    <w:unhideWhenUsed/>
    <w:rsid w:val="008A3BB9"/>
    <w:pPr>
      <w:spacing w:line="240" w:lineRule="auto"/>
    </w:pPr>
    <w:rPr>
      <w:sz w:val="20"/>
      <w:szCs w:val="20"/>
    </w:rPr>
  </w:style>
  <w:style w:type="character" w:customStyle="1" w:styleId="CommentTextChar">
    <w:name w:val="Comment Text Char"/>
    <w:basedOn w:val="DefaultParagraphFont"/>
    <w:link w:val="CommentText"/>
    <w:uiPriority w:val="99"/>
    <w:semiHidden/>
    <w:rsid w:val="008A3BB9"/>
    <w:rPr>
      <w:sz w:val="20"/>
      <w:szCs w:val="20"/>
    </w:rPr>
  </w:style>
  <w:style w:type="paragraph" w:styleId="CommentSubject">
    <w:name w:val="annotation subject"/>
    <w:basedOn w:val="CommentText"/>
    <w:next w:val="CommentText"/>
    <w:link w:val="CommentSubjectChar"/>
    <w:uiPriority w:val="99"/>
    <w:semiHidden/>
    <w:unhideWhenUsed/>
    <w:rsid w:val="008A3BB9"/>
    <w:rPr>
      <w:b/>
      <w:bCs/>
    </w:rPr>
  </w:style>
  <w:style w:type="character" w:customStyle="1" w:styleId="CommentSubjectChar">
    <w:name w:val="Comment Subject Char"/>
    <w:basedOn w:val="CommentTextChar"/>
    <w:link w:val="CommentSubject"/>
    <w:uiPriority w:val="99"/>
    <w:semiHidden/>
    <w:rsid w:val="008A3BB9"/>
    <w:rPr>
      <w:b/>
      <w:bCs/>
      <w:sz w:val="20"/>
      <w:szCs w:val="20"/>
    </w:rPr>
  </w:style>
  <w:style w:type="paragraph" w:styleId="Revision">
    <w:name w:val="Revision"/>
    <w:hidden/>
    <w:uiPriority w:val="99"/>
    <w:semiHidden/>
    <w:rsid w:val="008A3BB9"/>
    <w:pPr>
      <w:spacing w:after="0" w:line="240" w:lineRule="auto"/>
    </w:pPr>
  </w:style>
  <w:style w:type="paragraph" w:styleId="Footer">
    <w:name w:val="footer"/>
    <w:basedOn w:val="Normal"/>
    <w:link w:val="FooterChar"/>
    <w:uiPriority w:val="99"/>
    <w:unhideWhenUsed/>
    <w:rsid w:val="00990A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0A2D"/>
  </w:style>
  <w:style w:type="character" w:styleId="PageNumber">
    <w:name w:val="page number"/>
    <w:basedOn w:val="DefaultParagraphFont"/>
    <w:uiPriority w:val="99"/>
    <w:semiHidden/>
    <w:unhideWhenUsed/>
    <w:rsid w:val="00990A2D"/>
  </w:style>
  <w:style w:type="character" w:customStyle="1" w:styleId="Heading1Char">
    <w:name w:val="Heading 1 Char"/>
    <w:basedOn w:val="DefaultParagraphFont"/>
    <w:link w:val="Heading1"/>
    <w:uiPriority w:val="9"/>
    <w:rsid w:val="00F77D82"/>
    <w:rPr>
      <w:rFonts w:ascii="Segoe UI" w:eastAsiaTheme="majorEastAsia" w:hAnsi="Segoe U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7D82"/>
    <w:rPr>
      <w:rFonts w:ascii="Segoe UI" w:eastAsiaTheme="majorEastAsia" w:hAnsi="Segoe UI" w:cstheme="majorBidi"/>
      <w:b/>
      <w:bCs/>
      <w:color w:val="1F497D" w:themeColor="text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9045">
      <w:bodyDiv w:val="1"/>
      <w:marLeft w:val="0"/>
      <w:marRight w:val="0"/>
      <w:marTop w:val="0"/>
      <w:marBottom w:val="0"/>
      <w:divBdr>
        <w:top w:val="none" w:sz="0" w:space="0" w:color="auto"/>
        <w:left w:val="none" w:sz="0" w:space="0" w:color="auto"/>
        <w:bottom w:val="none" w:sz="0" w:space="0" w:color="auto"/>
        <w:right w:val="none" w:sz="0" w:space="0" w:color="auto"/>
      </w:divBdr>
    </w:div>
    <w:div w:id="54358032">
      <w:bodyDiv w:val="1"/>
      <w:marLeft w:val="0"/>
      <w:marRight w:val="0"/>
      <w:marTop w:val="0"/>
      <w:marBottom w:val="0"/>
      <w:divBdr>
        <w:top w:val="none" w:sz="0" w:space="0" w:color="auto"/>
        <w:left w:val="none" w:sz="0" w:space="0" w:color="auto"/>
        <w:bottom w:val="none" w:sz="0" w:space="0" w:color="auto"/>
        <w:right w:val="none" w:sz="0" w:space="0" w:color="auto"/>
      </w:divBdr>
    </w:div>
    <w:div w:id="93131366">
      <w:bodyDiv w:val="1"/>
      <w:marLeft w:val="0"/>
      <w:marRight w:val="0"/>
      <w:marTop w:val="0"/>
      <w:marBottom w:val="0"/>
      <w:divBdr>
        <w:top w:val="none" w:sz="0" w:space="0" w:color="auto"/>
        <w:left w:val="none" w:sz="0" w:space="0" w:color="auto"/>
        <w:bottom w:val="none" w:sz="0" w:space="0" w:color="auto"/>
        <w:right w:val="none" w:sz="0" w:space="0" w:color="auto"/>
      </w:divBdr>
    </w:div>
    <w:div w:id="118568783">
      <w:bodyDiv w:val="1"/>
      <w:marLeft w:val="0"/>
      <w:marRight w:val="0"/>
      <w:marTop w:val="0"/>
      <w:marBottom w:val="0"/>
      <w:divBdr>
        <w:top w:val="none" w:sz="0" w:space="0" w:color="auto"/>
        <w:left w:val="none" w:sz="0" w:space="0" w:color="auto"/>
        <w:bottom w:val="none" w:sz="0" w:space="0" w:color="auto"/>
        <w:right w:val="none" w:sz="0" w:space="0" w:color="auto"/>
      </w:divBdr>
    </w:div>
    <w:div w:id="121509013">
      <w:bodyDiv w:val="1"/>
      <w:marLeft w:val="0"/>
      <w:marRight w:val="0"/>
      <w:marTop w:val="0"/>
      <w:marBottom w:val="0"/>
      <w:divBdr>
        <w:top w:val="none" w:sz="0" w:space="0" w:color="auto"/>
        <w:left w:val="none" w:sz="0" w:space="0" w:color="auto"/>
        <w:bottom w:val="none" w:sz="0" w:space="0" w:color="auto"/>
        <w:right w:val="none" w:sz="0" w:space="0" w:color="auto"/>
      </w:divBdr>
    </w:div>
    <w:div w:id="154035396">
      <w:bodyDiv w:val="1"/>
      <w:marLeft w:val="0"/>
      <w:marRight w:val="0"/>
      <w:marTop w:val="0"/>
      <w:marBottom w:val="0"/>
      <w:divBdr>
        <w:top w:val="none" w:sz="0" w:space="0" w:color="auto"/>
        <w:left w:val="none" w:sz="0" w:space="0" w:color="auto"/>
        <w:bottom w:val="none" w:sz="0" w:space="0" w:color="auto"/>
        <w:right w:val="none" w:sz="0" w:space="0" w:color="auto"/>
      </w:divBdr>
    </w:div>
    <w:div w:id="176316251">
      <w:bodyDiv w:val="1"/>
      <w:marLeft w:val="0"/>
      <w:marRight w:val="0"/>
      <w:marTop w:val="0"/>
      <w:marBottom w:val="0"/>
      <w:divBdr>
        <w:top w:val="none" w:sz="0" w:space="0" w:color="auto"/>
        <w:left w:val="none" w:sz="0" w:space="0" w:color="auto"/>
        <w:bottom w:val="none" w:sz="0" w:space="0" w:color="auto"/>
        <w:right w:val="none" w:sz="0" w:space="0" w:color="auto"/>
      </w:divBdr>
    </w:div>
    <w:div w:id="315036894">
      <w:bodyDiv w:val="1"/>
      <w:marLeft w:val="0"/>
      <w:marRight w:val="0"/>
      <w:marTop w:val="0"/>
      <w:marBottom w:val="0"/>
      <w:divBdr>
        <w:top w:val="none" w:sz="0" w:space="0" w:color="auto"/>
        <w:left w:val="none" w:sz="0" w:space="0" w:color="auto"/>
        <w:bottom w:val="none" w:sz="0" w:space="0" w:color="auto"/>
        <w:right w:val="none" w:sz="0" w:space="0" w:color="auto"/>
      </w:divBdr>
    </w:div>
    <w:div w:id="342367625">
      <w:bodyDiv w:val="1"/>
      <w:marLeft w:val="0"/>
      <w:marRight w:val="0"/>
      <w:marTop w:val="0"/>
      <w:marBottom w:val="0"/>
      <w:divBdr>
        <w:top w:val="none" w:sz="0" w:space="0" w:color="auto"/>
        <w:left w:val="none" w:sz="0" w:space="0" w:color="auto"/>
        <w:bottom w:val="none" w:sz="0" w:space="0" w:color="auto"/>
        <w:right w:val="none" w:sz="0" w:space="0" w:color="auto"/>
      </w:divBdr>
    </w:div>
    <w:div w:id="362291261">
      <w:bodyDiv w:val="1"/>
      <w:marLeft w:val="0"/>
      <w:marRight w:val="0"/>
      <w:marTop w:val="0"/>
      <w:marBottom w:val="0"/>
      <w:divBdr>
        <w:top w:val="none" w:sz="0" w:space="0" w:color="auto"/>
        <w:left w:val="none" w:sz="0" w:space="0" w:color="auto"/>
        <w:bottom w:val="none" w:sz="0" w:space="0" w:color="auto"/>
        <w:right w:val="none" w:sz="0" w:space="0" w:color="auto"/>
      </w:divBdr>
    </w:div>
    <w:div w:id="471825321">
      <w:bodyDiv w:val="1"/>
      <w:marLeft w:val="0"/>
      <w:marRight w:val="0"/>
      <w:marTop w:val="0"/>
      <w:marBottom w:val="0"/>
      <w:divBdr>
        <w:top w:val="none" w:sz="0" w:space="0" w:color="auto"/>
        <w:left w:val="none" w:sz="0" w:space="0" w:color="auto"/>
        <w:bottom w:val="none" w:sz="0" w:space="0" w:color="auto"/>
        <w:right w:val="none" w:sz="0" w:space="0" w:color="auto"/>
      </w:divBdr>
    </w:div>
    <w:div w:id="494103421">
      <w:bodyDiv w:val="1"/>
      <w:marLeft w:val="0"/>
      <w:marRight w:val="0"/>
      <w:marTop w:val="0"/>
      <w:marBottom w:val="0"/>
      <w:divBdr>
        <w:top w:val="none" w:sz="0" w:space="0" w:color="auto"/>
        <w:left w:val="none" w:sz="0" w:space="0" w:color="auto"/>
        <w:bottom w:val="none" w:sz="0" w:space="0" w:color="auto"/>
        <w:right w:val="none" w:sz="0" w:space="0" w:color="auto"/>
      </w:divBdr>
    </w:div>
    <w:div w:id="559555034">
      <w:bodyDiv w:val="1"/>
      <w:marLeft w:val="0"/>
      <w:marRight w:val="0"/>
      <w:marTop w:val="0"/>
      <w:marBottom w:val="0"/>
      <w:divBdr>
        <w:top w:val="none" w:sz="0" w:space="0" w:color="auto"/>
        <w:left w:val="none" w:sz="0" w:space="0" w:color="auto"/>
        <w:bottom w:val="none" w:sz="0" w:space="0" w:color="auto"/>
        <w:right w:val="none" w:sz="0" w:space="0" w:color="auto"/>
      </w:divBdr>
    </w:div>
    <w:div w:id="589777020">
      <w:bodyDiv w:val="1"/>
      <w:marLeft w:val="0"/>
      <w:marRight w:val="0"/>
      <w:marTop w:val="0"/>
      <w:marBottom w:val="0"/>
      <w:divBdr>
        <w:top w:val="none" w:sz="0" w:space="0" w:color="auto"/>
        <w:left w:val="none" w:sz="0" w:space="0" w:color="auto"/>
        <w:bottom w:val="none" w:sz="0" w:space="0" w:color="auto"/>
        <w:right w:val="none" w:sz="0" w:space="0" w:color="auto"/>
      </w:divBdr>
    </w:div>
    <w:div w:id="730889433">
      <w:bodyDiv w:val="1"/>
      <w:marLeft w:val="0"/>
      <w:marRight w:val="0"/>
      <w:marTop w:val="0"/>
      <w:marBottom w:val="0"/>
      <w:divBdr>
        <w:top w:val="none" w:sz="0" w:space="0" w:color="auto"/>
        <w:left w:val="none" w:sz="0" w:space="0" w:color="auto"/>
        <w:bottom w:val="none" w:sz="0" w:space="0" w:color="auto"/>
        <w:right w:val="none" w:sz="0" w:space="0" w:color="auto"/>
      </w:divBdr>
    </w:div>
    <w:div w:id="746000699">
      <w:bodyDiv w:val="1"/>
      <w:marLeft w:val="0"/>
      <w:marRight w:val="0"/>
      <w:marTop w:val="0"/>
      <w:marBottom w:val="0"/>
      <w:divBdr>
        <w:top w:val="none" w:sz="0" w:space="0" w:color="auto"/>
        <w:left w:val="none" w:sz="0" w:space="0" w:color="auto"/>
        <w:bottom w:val="none" w:sz="0" w:space="0" w:color="auto"/>
        <w:right w:val="none" w:sz="0" w:space="0" w:color="auto"/>
      </w:divBdr>
    </w:div>
    <w:div w:id="759645527">
      <w:bodyDiv w:val="1"/>
      <w:marLeft w:val="0"/>
      <w:marRight w:val="0"/>
      <w:marTop w:val="0"/>
      <w:marBottom w:val="0"/>
      <w:divBdr>
        <w:top w:val="none" w:sz="0" w:space="0" w:color="auto"/>
        <w:left w:val="none" w:sz="0" w:space="0" w:color="auto"/>
        <w:bottom w:val="none" w:sz="0" w:space="0" w:color="auto"/>
        <w:right w:val="none" w:sz="0" w:space="0" w:color="auto"/>
      </w:divBdr>
    </w:div>
    <w:div w:id="840314863">
      <w:bodyDiv w:val="1"/>
      <w:marLeft w:val="0"/>
      <w:marRight w:val="0"/>
      <w:marTop w:val="0"/>
      <w:marBottom w:val="0"/>
      <w:divBdr>
        <w:top w:val="none" w:sz="0" w:space="0" w:color="auto"/>
        <w:left w:val="none" w:sz="0" w:space="0" w:color="auto"/>
        <w:bottom w:val="none" w:sz="0" w:space="0" w:color="auto"/>
        <w:right w:val="none" w:sz="0" w:space="0" w:color="auto"/>
      </w:divBdr>
    </w:div>
    <w:div w:id="873470572">
      <w:bodyDiv w:val="1"/>
      <w:marLeft w:val="0"/>
      <w:marRight w:val="0"/>
      <w:marTop w:val="0"/>
      <w:marBottom w:val="0"/>
      <w:divBdr>
        <w:top w:val="none" w:sz="0" w:space="0" w:color="auto"/>
        <w:left w:val="none" w:sz="0" w:space="0" w:color="auto"/>
        <w:bottom w:val="none" w:sz="0" w:space="0" w:color="auto"/>
        <w:right w:val="none" w:sz="0" w:space="0" w:color="auto"/>
      </w:divBdr>
    </w:div>
    <w:div w:id="908463926">
      <w:bodyDiv w:val="1"/>
      <w:marLeft w:val="0"/>
      <w:marRight w:val="0"/>
      <w:marTop w:val="0"/>
      <w:marBottom w:val="0"/>
      <w:divBdr>
        <w:top w:val="none" w:sz="0" w:space="0" w:color="auto"/>
        <w:left w:val="none" w:sz="0" w:space="0" w:color="auto"/>
        <w:bottom w:val="none" w:sz="0" w:space="0" w:color="auto"/>
        <w:right w:val="none" w:sz="0" w:space="0" w:color="auto"/>
      </w:divBdr>
    </w:div>
    <w:div w:id="923802584">
      <w:bodyDiv w:val="1"/>
      <w:marLeft w:val="0"/>
      <w:marRight w:val="0"/>
      <w:marTop w:val="0"/>
      <w:marBottom w:val="0"/>
      <w:divBdr>
        <w:top w:val="none" w:sz="0" w:space="0" w:color="auto"/>
        <w:left w:val="none" w:sz="0" w:space="0" w:color="auto"/>
        <w:bottom w:val="none" w:sz="0" w:space="0" w:color="auto"/>
        <w:right w:val="none" w:sz="0" w:space="0" w:color="auto"/>
      </w:divBdr>
    </w:div>
    <w:div w:id="964044381">
      <w:bodyDiv w:val="1"/>
      <w:marLeft w:val="0"/>
      <w:marRight w:val="0"/>
      <w:marTop w:val="0"/>
      <w:marBottom w:val="0"/>
      <w:divBdr>
        <w:top w:val="none" w:sz="0" w:space="0" w:color="auto"/>
        <w:left w:val="none" w:sz="0" w:space="0" w:color="auto"/>
        <w:bottom w:val="none" w:sz="0" w:space="0" w:color="auto"/>
        <w:right w:val="none" w:sz="0" w:space="0" w:color="auto"/>
      </w:divBdr>
    </w:div>
    <w:div w:id="1087770845">
      <w:bodyDiv w:val="1"/>
      <w:marLeft w:val="0"/>
      <w:marRight w:val="0"/>
      <w:marTop w:val="0"/>
      <w:marBottom w:val="0"/>
      <w:divBdr>
        <w:top w:val="none" w:sz="0" w:space="0" w:color="auto"/>
        <w:left w:val="none" w:sz="0" w:space="0" w:color="auto"/>
        <w:bottom w:val="none" w:sz="0" w:space="0" w:color="auto"/>
        <w:right w:val="none" w:sz="0" w:space="0" w:color="auto"/>
      </w:divBdr>
    </w:div>
    <w:div w:id="1093471856">
      <w:bodyDiv w:val="1"/>
      <w:marLeft w:val="0"/>
      <w:marRight w:val="0"/>
      <w:marTop w:val="0"/>
      <w:marBottom w:val="0"/>
      <w:divBdr>
        <w:top w:val="none" w:sz="0" w:space="0" w:color="auto"/>
        <w:left w:val="none" w:sz="0" w:space="0" w:color="auto"/>
        <w:bottom w:val="none" w:sz="0" w:space="0" w:color="auto"/>
        <w:right w:val="none" w:sz="0" w:space="0" w:color="auto"/>
      </w:divBdr>
    </w:div>
    <w:div w:id="1126578306">
      <w:bodyDiv w:val="1"/>
      <w:marLeft w:val="0"/>
      <w:marRight w:val="0"/>
      <w:marTop w:val="0"/>
      <w:marBottom w:val="0"/>
      <w:divBdr>
        <w:top w:val="none" w:sz="0" w:space="0" w:color="auto"/>
        <w:left w:val="none" w:sz="0" w:space="0" w:color="auto"/>
        <w:bottom w:val="none" w:sz="0" w:space="0" w:color="auto"/>
        <w:right w:val="none" w:sz="0" w:space="0" w:color="auto"/>
      </w:divBdr>
    </w:div>
    <w:div w:id="1225800112">
      <w:bodyDiv w:val="1"/>
      <w:marLeft w:val="0"/>
      <w:marRight w:val="0"/>
      <w:marTop w:val="0"/>
      <w:marBottom w:val="0"/>
      <w:divBdr>
        <w:top w:val="none" w:sz="0" w:space="0" w:color="auto"/>
        <w:left w:val="none" w:sz="0" w:space="0" w:color="auto"/>
        <w:bottom w:val="none" w:sz="0" w:space="0" w:color="auto"/>
        <w:right w:val="none" w:sz="0" w:space="0" w:color="auto"/>
      </w:divBdr>
    </w:div>
    <w:div w:id="1284533728">
      <w:bodyDiv w:val="1"/>
      <w:marLeft w:val="0"/>
      <w:marRight w:val="0"/>
      <w:marTop w:val="0"/>
      <w:marBottom w:val="0"/>
      <w:divBdr>
        <w:top w:val="none" w:sz="0" w:space="0" w:color="auto"/>
        <w:left w:val="none" w:sz="0" w:space="0" w:color="auto"/>
        <w:bottom w:val="none" w:sz="0" w:space="0" w:color="auto"/>
        <w:right w:val="none" w:sz="0" w:space="0" w:color="auto"/>
      </w:divBdr>
    </w:div>
    <w:div w:id="1403791497">
      <w:bodyDiv w:val="1"/>
      <w:marLeft w:val="0"/>
      <w:marRight w:val="0"/>
      <w:marTop w:val="0"/>
      <w:marBottom w:val="0"/>
      <w:divBdr>
        <w:top w:val="none" w:sz="0" w:space="0" w:color="auto"/>
        <w:left w:val="none" w:sz="0" w:space="0" w:color="auto"/>
        <w:bottom w:val="none" w:sz="0" w:space="0" w:color="auto"/>
        <w:right w:val="none" w:sz="0" w:space="0" w:color="auto"/>
      </w:divBdr>
    </w:div>
    <w:div w:id="1450198058">
      <w:bodyDiv w:val="1"/>
      <w:marLeft w:val="0"/>
      <w:marRight w:val="0"/>
      <w:marTop w:val="0"/>
      <w:marBottom w:val="0"/>
      <w:divBdr>
        <w:top w:val="none" w:sz="0" w:space="0" w:color="auto"/>
        <w:left w:val="none" w:sz="0" w:space="0" w:color="auto"/>
        <w:bottom w:val="none" w:sz="0" w:space="0" w:color="auto"/>
        <w:right w:val="none" w:sz="0" w:space="0" w:color="auto"/>
      </w:divBdr>
    </w:div>
    <w:div w:id="1482650784">
      <w:bodyDiv w:val="1"/>
      <w:marLeft w:val="0"/>
      <w:marRight w:val="0"/>
      <w:marTop w:val="0"/>
      <w:marBottom w:val="0"/>
      <w:divBdr>
        <w:top w:val="none" w:sz="0" w:space="0" w:color="auto"/>
        <w:left w:val="none" w:sz="0" w:space="0" w:color="auto"/>
        <w:bottom w:val="none" w:sz="0" w:space="0" w:color="auto"/>
        <w:right w:val="none" w:sz="0" w:space="0" w:color="auto"/>
      </w:divBdr>
    </w:div>
    <w:div w:id="1487546936">
      <w:bodyDiv w:val="1"/>
      <w:marLeft w:val="0"/>
      <w:marRight w:val="0"/>
      <w:marTop w:val="0"/>
      <w:marBottom w:val="0"/>
      <w:divBdr>
        <w:top w:val="none" w:sz="0" w:space="0" w:color="auto"/>
        <w:left w:val="none" w:sz="0" w:space="0" w:color="auto"/>
        <w:bottom w:val="none" w:sz="0" w:space="0" w:color="auto"/>
        <w:right w:val="none" w:sz="0" w:space="0" w:color="auto"/>
      </w:divBdr>
    </w:div>
    <w:div w:id="1514689641">
      <w:bodyDiv w:val="1"/>
      <w:marLeft w:val="0"/>
      <w:marRight w:val="0"/>
      <w:marTop w:val="0"/>
      <w:marBottom w:val="0"/>
      <w:divBdr>
        <w:top w:val="none" w:sz="0" w:space="0" w:color="auto"/>
        <w:left w:val="none" w:sz="0" w:space="0" w:color="auto"/>
        <w:bottom w:val="none" w:sz="0" w:space="0" w:color="auto"/>
        <w:right w:val="none" w:sz="0" w:space="0" w:color="auto"/>
      </w:divBdr>
    </w:div>
    <w:div w:id="1542789640">
      <w:bodyDiv w:val="1"/>
      <w:marLeft w:val="0"/>
      <w:marRight w:val="0"/>
      <w:marTop w:val="0"/>
      <w:marBottom w:val="0"/>
      <w:divBdr>
        <w:top w:val="none" w:sz="0" w:space="0" w:color="auto"/>
        <w:left w:val="none" w:sz="0" w:space="0" w:color="auto"/>
        <w:bottom w:val="none" w:sz="0" w:space="0" w:color="auto"/>
        <w:right w:val="none" w:sz="0" w:space="0" w:color="auto"/>
      </w:divBdr>
    </w:div>
    <w:div w:id="1664312668">
      <w:bodyDiv w:val="1"/>
      <w:marLeft w:val="0"/>
      <w:marRight w:val="0"/>
      <w:marTop w:val="0"/>
      <w:marBottom w:val="0"/>
      <w:divBdr>
        <w:top w:val="none" w:sz="0" w:space="0" w:color="auto"/>
        <w:left w:val="none" w:sz="0" w:space="0" w:color="auto"/>
        <w:bottom w:val="none" w:sz="0" w:space="0" w:color="auto"/>
        <w:right w:val="none" w:sz="0" w:space="0" w:color="auto"/>
      </w:divBdr>
    </w:div>
    <w:div w:id="1682319629">
      <w:bodyDiv w:val="1"/>
      <w:marLeft w:val="0"/>
      <w:marRight w:val="0"/>
      <w:marTop w:val="0"/>
      <w:marBottom w:val="0"/>
      <w:divBdr>
        <w:top w:val="none" w:sz="0" w:space="0" w:color="auto"/>
        <w:left w:val="none" w:sz="0" w:space="0" w:color="auto"/>
        <w:bottom w:val="none" w:sz="0" w:space="0" w:color="auto"/>
        <w:right w:val="none" w:sz="0" w:space="0" w:color="auto"/>
      </w:divBdr>
    </w:div>
    <w:div w:id="1752579144">
      <w:bodyDiv w:val="1"/>
      <w:marLeft w:val="0"/>
      <w:marRight w:val="0"/>
      <w:marTop w:val="0"/>
      <w:marBottom w:val="0"/>
      <w:divBdr>
        <w:top w:val="none" w:sz="0" w:space="0" w:color="auto"/>
        <w:left w:val="none" w:sz="0" w:space="0" w:color="auto"/>
        <w:bottom w:val="none" w:sz="0" w:space="0" w:color="auto"/>
        <w:right w:val="none" w:sz="0" w:space="0" w:color="auto"/>
      </w:divBdr>
    </w:div>
    <w:div w:id="1803647757">
      <w:bodyDiv w:val="1"/>
      <w:marLeft w:val="0"/>
      <w:marRight w:val="0"/>
      <w:marTop w:val="0"/>
      <w:marBottom w:val="0"/>
      <w:divBdr>
        <w:top w:val="none" w:sz="0" w:space="0" w:color="auto"/>
        <w:left w:val="none" w:sz="0" w:space="0" w:color="auto"/>
        <w:bottom w:val="none" w:sz="0" w:space="0" w:color="auto"/>
        <w:right w:val="none" w:sz="0" w:space="0" w:color="auto"/>
      </w:divBdr>
    </w:div>
    <w:div w:id="1877279027">
      <w:bodyDiv w:val="1"/>
      <w:marLeft w:val="0"/>
      <w:marRight w:val="0"/>
      <w:marTop w:val="0"/>
      <w:marBottom w:val="0"/>
      <w:divBdr>
        <w:top w:val="none" w:sz="0" w:space="0" w:color="auto"/>
        <w:left w:val="none" w:sz="0" w:space="0" w:color="auto"/>
        <w:bottom w:val="none" w:sz="0" w:space="0" w:color="auto"/>
        <w:right w:val="none" w:sz="0" w:space="0" w:color="auto"/>
      </w:divBdr>
    </w:div>
    <w:div w:id="1942059828">
      <w:bodyDiv w:val="1"/>
      <w:marLeft w:val="0"/>
      <w:marRight w:val="0"/>
      <w:marTop w:val="0"/>
      <w:marBottom w:val="0"/>
      <w:divBdr>
        <w:top w:val="none" w:sz="0" w:space="0" w:color="auto"/>
        <w:left w:val="none" w:sz="0" w:space="0" w:color="auto"/>
        <w:bottom w:val="none" w:sz="0" w:space="0" w:color="auto"/>
        <w:right w:val="none" w:sz="0" w:space="0" w:color="auto"/>
      </w:divBdr>
    </w:div>
    <w:div w:id="2027752377">
      <w:bodyDiv w:val="1"/>
      <w:marLeft w:val="0"/>
      <w:marRight w:val="0"/>
      <w:marTop w:val="0"/>
      <w:marBottom w:val="0"/>
      <w:divBdr>
        <w:top w:val="none" w:sz="0" w:space="0" w:color="auto"/>
        <w:left w:val="none" w:sz="0" w:space="0" w:color="auto"/>
        <w:bottom w:val="none" w:sz="0" w:space="0" w:color="auto"/>
        <w:right w:val="none" w:sz="0" w:space="0" w:color="auto"/>
      </w:divBdr>
    </w:div>
    <w:div w:id="2089502112">
      <w:bodyDiv w:val="1"/>
      <w:marLeft w:val="0"/>
      <w:marRight w:val="0"/>
      <w:marTop w:val="0"/>
      <w:marBottom w:val="0"/>
      <w:divBdr>
        <w:top w:val="none" w:sz="0" w:space="0" w:color="auto"/>
        <w:left w:val="none" w:sz="0" w:space="0" w:color="auto"/>
        <w:bottom w:val="none" w:sz="0" w:space="0" w:color="auto"/>
        <w:right w:val="none" w:sz="0" w:space="0" w:color="auto"/>
      </w:divBdr>
    </w:div>
    <w:div w:id="21320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ebm.net/mod_product/design/files/CEBM-Levels-of-Evidence-2.1.pdf" TargetMode="External"/><Relationship Id="rId21" Type="http://schemas.openxmlformats.org/officeDocument/2006/relationships/hyperlink" Target="http://www.healthknowledge.org.uk/public-health-textbook/research-methods/1a-epidemiology/hierarchy-research-evidence" TargetMode="External"/><Relationship Id="rId22" Type="http://schemas.openxmlformats.org/officeDocument/2006/relationships/hyperlink" Target="http://circ.ahajournals.org/content/118/16/1675.full" TargetMode="External"/><Relationship Id="rId23" Type="http://schemas.openxmlformats.org/officeDocument/2006/relationships/hyperlink" Target="http://www.acc.co.nz/for-providers/clinical-best-practice/acc-review/WCMZ003160" TargetMode="External"/><Relationship Id="rId24" Type="http://schemas.openxmlformats.org/officeDocument/2006/relationships/image" Target="media/image11.emf"/><Relationship Id="rId25" Type="http://schemas.openxmlformats.org/officeDocument/2006/relationships/hyperlink" Target="http://www.crd.york.ac.uk/prospero/" TargetMode="External"/><Relationship Id="rId26" Type="http://schemas.openxmlformats.org/officeDocument/2006/relationships/hyperlink" Target="http://www.cochrane-net.org/openlearning/PDF/Module_3.pdf" TargetMode="External"/><Relationship Id="rId27" Type="http://schemas.openxmlformats.org/officeDocument/2006/relationships/hyperlink" Target="http://www.ispor.org/TaskForces/documents/AssessingITC-NMA-Studies-TF-draft-Report.pdf" TargetMode="External"/><Relationship Id="rId28" Type="http://schemas.openxmlformats.org/officeDocument/2006/relationships/hyperlink" Target="http://www.prisma-statement.org" TargetMode="External"/><Relationship Id="rId29" Type="http://schemas.openxmlformats.org/officeDocument/2006/relationships/image" Target="media/image1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3.png"/><Relationship Id="rId31" Type="http://schemas.openxmlformats.org/officeDocument/2006/relationships/image" Target="media/image14.png"/><Relationship Id="rId32" Type="http://schemas.openxmlformats.org/officeDocument/2006/relationships/image" Target="media/image15.pn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package" Target="embeddings/Microsoft_Excel_Sheet1.xlsx"/><Relationship Id="rId18" Type="http://schemas.openxmlformats.org/officeDocument/2006/relationships/image" Target="media/image9.emf"/><Relationship Id="rId19" Type="http://schemas.openxmlformats.org/officeDocument/2006/relationships/image" Target="media/image10.emf"/><Relationship Id="rId38" Type="http://schemas.microsoft.com/office/2011/relationships/commentsExtended" Target="commentsExtended.xml"/><Relationship Id="rId39"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s://www.evidem.org/components-decis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Sus13</b:Tag>
    <b:SourceType>JournalArticle</b:SourceType>
    <b:Guid>{EFA9DA64-C5B8-47D8-9DAF-284778C80F54}</b:Guid>
    <b:LCID>uz-Cyrl-UZ</b:LCID>
    <b:Author>
      <b:Author>
        <b:NameList>
          <b:Person>
            <b:Last>Sussex J</b:Last>
            <b:First>et</b:First>
            <b:Middle>al</b:Middle>
          </b:Person>
        </b:NameList>
      </b:Author>
    </b:Author>
    <b:Title>A Pilot Study of Multicriteria Decision Analysis for Valuing Orphan Medicines</b:Title>
    <b:Year>2013</b:Year>
    <b:JournalName>Value in Health</b:JournalName>
    <b:Pages>1163-69</b:Pages>
    <b:RefOrder>1</b:RefOrder>
  </b:Source>
</b:Sources>
</file>

<file path=customXml/itemProps1.xml><?xml version="1.0" encoding="utf-8"?>
<ds:datastoreItem xmlns:ds="http://schemas.openxmlformats.org/officeDocument/2006/customXml" ds:itemID="{EF3C5F51-C389-CD42-8FCC-323FDCD0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9167</Words>
  <Characters>52256</Characters>
  <Application>Microsoft Macintosh Word</Application>
  <DocSecurity>0</DocSecurity>
  <Lines>435</Lines>
  <Paragraphs>122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Pfizer Inc</Company>
  <LinksUpToDate>false</LinksUpToDate>
  <CharactersWithSpaces>61301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Hajek</dc:creator>
  <cp:keywords/>
  <dc:description/>
  <cp:lastModifiedBy>Tomas Dolezal</cp:lastModifiedBy>
  <cp:revision>5</cp:revision>
  <dcterms:created xsi:type="dcterms:W3CDTF">2014-09-23T09:56:00Z</dcterms:created>
  <dcterms:modified xsi:type="dcterms:W3CDTF">2014-09-23T10:56:00Z</dcterms:modified>
</cp:coreProperties>
</file>